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现拌砂浆和预拌砂浆的换算</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杭州市建设工程应用预拌砂浆工程计价问题的相关解释杭建造价投资办[2024]24号各有关单位：根据杭政办函[2024]32号《杭州市人民政府关于印发杭州市建设工程推广应用预拌砂浆管理办法的通知》，我市自今年3月份起在市区范围内房屋建筑和市...</w:t>
      </w:r>
    </w:p>
    <w:p>
      <w:pPr>
        <w:ind w:left="0" w:right="0" w:firstLine="560"/>
        <w:spacing w:before="450" w:after="450" w:line="312" w:lineRule="auto"/>
      </w:pPr>
      <w:r>
        <w:rPr>
          <w:rFonts w:ascii="宋体" w:hAnsi="宋体" w:eastAsia="宋体" w:cs="宋体"/>
          <w:color w:val="000"/>
          <w:sz w:val="28"/>
          <w:szCs w:val="28"/>
        </w:rPr>
        <w:t xml:space="preserve">关于杭州市建设工程应用预拌砂浆工程计价问题的相关解释</w:t>
      </w:r>
    </w:p>
    <w:p>
      <w:pPr>
        <w:ind w:left="0" w:right="0" w:firstLine="560"/>
        <w:spacing w:before="450" w:after="450" w:line="312" w:lineRule="auto"/>
      </w:pPr>
      <w:r>
        <w:rPr>
          <w:rFonts w:ascii="宋体" w:hAnsi="宋体" w:eastAsia="宋体" w:cs="宋体"/>
          <w:color w:val="000"/>
          <w:sz w:val="28"/>
          <w:szCs w:val="28"/>
        </w:rPr>
        <w:t xml:space="preserve">杭建造价投资办[2024]24号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杭政办函[2024]32号《杭州市人民政府关于印发杭州市建设工程推广应用预拌砂浆管理办法的通知》，我市自今年3月份起在市区范围内房屋建筑和市政基础设施工程全面推广使用预拌砂浆。由于近来涉及工程计价依据对使用预拌砂浆如何进行调整处理方面的咨询较多，为进一步做好预拌砂浆计价行为的规范管理，现将有关事项说明如下：</w:t>
      </w:r>
    </w:p>
    <w:p>
      <w:pPr>
        <w:ind w:left="0" w:right="0" w:firstLine="560"/>
        <w:spacing w:before="450" w:after="450" w:line="312" w:lineRule="auto"/>
      </w:pPr>
      <w:r>
        <w:rPr>
          <w:rFonts w:ascii="宋体" w:hAnsi="宋体" w:eastAsia="宋体" w:cs="宋体"/>
          <w:color w:val="000"/>
          <w:sz w:val="28"/>
          <w:szCs w:val="28"/>
        </w:rPr>
        <w:t xml:space="preserve">一、使用浙江省现行工程计价预算定额时，如定额为普通现拌砂浆而工程实际使用预拌砂浆的，应按2024版《浙江省建筑工程预算定额》和《浙江省市政工程预算定额》总说明中所明确的定额调整方法执行。</w:t>
      </w:r>
    </w:p>
    <w:p>
      <w:pPr>
        <w:ind w:left="0" w:right="0" w:firstLine="560"/>
        <w:spacing w:before="450" w:after="450" w:line="312" w:lineRule="auto"/>
      </w:pPr>
      <w:r>
        <w:rPr>
          <w:rFonts w:ascii="宋体" w:hAnsi="宋体" w:eastAsia="宋体" w:cs="宋体"/>
          <w:color w:val="000"/>
          <w:sz w:val="28"/>
          <w:szCs w:val="28"/>
        </w:rPr>
        <w:t xml:space="preserve">二、对于预拌砂浆和现拌砂浆的分类对应关系，可参考省建设工程造价管理总站2024年颁发的《浙江省建筑工程节能预算定额（2024版省补充定额）》第141页的附录五“预拌砂浆与传统砂浆分类对应参考表”进行相应砂浆材料的换算调整。</w:t>
      </w:r>
    </w:p>
    <w:p>
      <w:pPr>
        <w:ind w:left="0" w:right="0" w:firstLine="560"/>
        <w:spacing w:before="450" w:after="450" w:line="312" w:lineRule="auto"/>
      </w:pPr>
      <w:r>
        <w:rPr>
          <w:rFonts w:ascii="宋体" w:hAnsi="宋体" w:eastAsia="宋体" w:cs="宋体"/>
          <w:color w:val="000"/>
          <w:sz w:val="28"/>
          <w:szCs w:val="28"/>
        </w:rPr>
        <w:t xml:space="preserve">三、已招投标或已签订合同但尚未竣工的工程，使用预拌砂浆部分所涉及的相应工程计价按上述办法调整。</w:t>
      </w:r>
    </w:p>
    <w:p>
      <w:pPr>
        <w:ind w:left="0" w:right="0" w:firstLine="560"/>
        <w:spacing w:before="450" w:after="450" w:line="312" w:lineRule="auto"/>
      </w:pPr>
      <w:r>
        <w:rPr>
          <w:rFonts w:ascii="宋体" w:hAnsi="宋体" w:eastAsia="宋体" w:cs="宋体"/>
          <w:color w:val="000"/>
          <w:sz w:val="28"/>
          <w:szCs w:val="28"/>
        </w:rPr>
        <w:t xml:space="preserve">附：预拌砂浆与传统砂浆分类对应参考表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预拌砂浆</w:t>
      </w:r>
    </w:p>
    <w:p>
      <w:pPr>
        <w:ind w:left="0" w:right="0" w:firstLine="560"/>
        <w:spacing w:before="450" w:after="450" w:line="312" w:lineRule="auto"/>
      </w:pPr>
      <w:r>
        <w:rPr>
          <w:rFonts w:ascii="宋体" w:hAnsi="宋体" w:eastAsia="宋体" w:cs="宋体"/>
          <w:color w:val="000"/>
          <w:sz w:val="28"/>
          <w:szCs w:val="28"/>
        </w:rPr>
        <w:t xml:space="preserve">传统砂浆</w:t>
      </w:r>
    </w:p>
    <w:p>
      <w:pPr>
        <w:ind w:left="0" w:right="0" w:firstLine="560"/>
        <w:spacing w:before="450" w:after="450" w:line="312" w:lineRule="auto"/>
      </w:pPr>
      <w:r>
        <w:rPr>
          <w:rFonts w:ascii="宋体" w:hAnsi="宋体" w:eastAsia="宋体" w:cs="宋体"/>
          <w:color w:val="000"/>
          <w:sz w:val="28"/>
          <w:szCs w:val="28"/>
        </w:rPr>
        <w:t xml:space="preserve">砌筑砂浆</w:t>
      </w:r>
    </w:p>
    <w:p>
      <w:pPr>
        <w:ind w:left="0" w:right="0" w:firstLine="560"/>
        <w:spacing w:before="450" w:after="450" w:line="312" w:lineRule="auto"/>
      </w:pPr>
      <w:r>
        <w:rPr>
          <w:rFonts w:ascii="宋体" w:hAnsi="宋体" w:eastAsia="宋体" w:cs="宋体"/>
          <w:color w:val="000"/>
          <w:sz w:val="28"/>
          <w:szCs w:val="28"/>
        </w:rPr>
        <w:t xml:space="preserve">DM5.0、WM5.0</w:t>
      </w:r>
    </w:p>
    <w:p>
      <w:pPr>
        <w:ind w:left="0" w:right="0" w:firstLine="560"/>
        <w:spacing w:before="450" w:after="450" w:line="312" w:lineRule="auto"/>
      </w:pPr>
      <w:r>
        <w:rPr>
          <w:rFonts w:ascii="宋体" w:hAnsi="宋体" w:eastAsia="宋体" w:cs="宋体"/>
          <w:color w:val="000"/>
          <w:sz w:val="28"/>
          <w:szCs w:val="28"/>
        </w:rPr>
        <w:t xml:space="preserve">M5.0混合砂浆、M5.0水泥砂浆</w:t>
      </w:r>
    </w:p>
    <w:p>
      <w:pPr>
        <w:ind w:left="0" w:right="0" w:firstLine="560"/>
        <w:spacing w:before="450" w:after="450" w:line="312" w:lineRule="auto"/>
      </w:pPr>
      <w:r>
        <w:rPr>
          <w:rFonts w:ascii="宋体" w:hAnsi="宋体" w:eastAsia="宋体" w:cs="宋体"/>
          <w:color w:val="000"/>
          <w:sz w:val="28"/>
          <w:szCs w:val="28"/>
        </w:rPr>
        <w:t xml:space="preserve">DM57.5、WM7.5</w:t>
      </w:r>
    </w:p>
    <w:p>
      <w:pPr>
        <w:ind w:left="0" w:right="0" w:firstLine="560"/>
        <w:spacing w:before="450" w:after="450" w:line="312" w:lineRule="auto"/>
      </w:pPr>
      <w:r>
        <w:rPr>
          <w:rFonts w:ascii="宋体" w:hAnsi="宋体" w:eastAsia="宋体" w:cs="宋体"/>
          <w:color w:val="000"/>
          <w:sz w:val="28"/>
          <w:szCs w:val="28"/>
        </w:rPr>
        <w:t xml:space="preserve">M7.5混合砂浆、M7.5水泥砂浆</w:t>
      </w:r>
    </w:p>
    <w:p>
      <w:pPr>
        <w:ind w:left="0" w:right="0" w:firstLine="560"/>
        <w:spacing w:before="450" w:after="450" w:line="312" w:lineRule="auto"/>
      </w:pPr>
      <w:r>
        <w:rPr>
          <w:rFonts w:ascii="宋体" w:hAnsi="宋体" w:eastAsia="宋体" w:cs="宋体"/>
          <w:color w:val="000"/>
          <w:sz w:val="28"/>
          <w:szCs w:val="28"/>
        </w:rPr>
        <w:t xml:space="preserve">DM10.、WM10</w:t>
      </w:r>
    </w:p>
    <w:p>
      <w:pPr>
        <w:ind w:left="0" w:right="0" w:firstLine="560"/>
        <w:spacing w:before="450" w:after="450" w:line="312" w:lineRule="auto"/>
      </w:pPr>
      <w:r>
        <w:rPr>
          <w:rFonts w:ascii="宋体" w:hAnsi="宋体" w:eastAsia="宋体" w:cs="宋体"/>
          <w:color w:val="000"/>
          <w:sz w:val="28"/>
          <w:szCs w:val="28"/>
        </w:rPr>
        <w:t xml:space="preserve">M10混合砂浆、M10水泥砂浆</w:t>
      </w:r>
    </w:p>
    <w:p>
      <w:pPr>
        <w:ind w:left="0" w:right="0" w:firstLine="560"/>
        <w:spacing w:before="450" w:after="450" w:line="312" w:lineRule="auto"/>
      </w:pPr>
      <w:r>
        <w:rPr>
          <w:rFonts w:ascii="宋体" w:hAnsi="宋体" w:eastAsia="宋体" w:cs="宋体"/>
          <w:color w:val="000"/>
          <w:sz w:val="28"/>
          <w:szCs w:val="28"/>
        </w:rPr>
        <w:t xml:space="preserve">DM15、WM15</w:t>
      </w:r>
    </w:p>
    <w:p>
      <w:pPr>
        <w:ind w:left="0" w:right="0" w:firstLine="560"/>
        <w:spacing w:before="450" w:after="450" w:line="312" w:lineRule="auto"/>
      </w:pPr>
      <w:r>
        <w:rPr>
          <w:rFonts w:ascii="宋体" w:hAnsi="宋体" w:eastAsia="宋体" w:cs="宋体"/>
          <w:color w:val="000"/>
          <w:sz w:val="28"/>
          <w:szCs w:val="28"/>
        </w:rPr>
        <w:t xml:space="preserve">M15混合砂浆、M15水泥砂浆</w:t>
      </w:r>
    </w:p>
    <w:p>
      <w:pPr>
        <w:ind w:left="0" w:right="0" w:firstLine="560"/>
        <w:spacing w:before="450" w:after="450" w:line="312" w:lineRule="auto"/>
      </w:pPr>
      <w:r>
        <w:rPr>
          <w:rFonts w:ascii="宋体" w:hAnsi="宋体" w:eastAsia="宋体" w:cs="宋体"/>
          <w:color w:val="000"/>
          <w:sz w:val="28"/>
          <w:szCs w:val="28"/>
        </w:rPr>
        <w:t xml:space="preserve">抹灰砂浆</w:t>
      </w:r>
    </w:p>
    <w:p>
      <w:pPr>
        <w:ind w:left="0" w:right="0" w:firstLine="560"/>
        <w:spacing w:before="450" w:after="450" w:line="312" w:lineRule="auto"/>
      </w:pPr>
      <w:r>
        <w:rPr>
          <w:rFonts w:ascii="宋体" w:hAnsi="宋体" w:eastAsia="宋体" w:cs="宋体"/>
          <w:color w:val="000"/>
          <w:sz w:val="28"/>
          <w:szCs w:val="28"/>
        </w:rPr>
        <w:t xml:space="preserve">DP5.0、WP5.0</w:t>
      </w:r>
    </w:p>
    <w:p>
      <w:pPr>
        <w:ind w:left="0" w:right="0" w:firstLine="560"/>
        <w:spacing w:before="450" w:after="450" w:line="312" w:lineRule="auto"/>
      </w:pPr>
      <w:r>
        <w:rPr>
          <w:rFonts w:ascii="宋体" w:hAnsi="宋体" w:eastAsia="宋体" w:cs="宋体"/>
          <w:color w:val="000"/>
          <w:sz w:val="28"/>
          <w:szCs w:val="28"/>
        </w:rPr>
        <w:t xml:space="preserve">1:1:6混合砂浆</w:t>
      </w:r>
    </w:p>
    <w:p>
      <w:pPr>
        <w:ind w:left="0" w:right="0" w:firstLine="560"/>
        <w:spacing w:before="450" w:after="450" w:line="312" w:lineRule="auto"/>
      </w:pPr>
      <w:r>
        <w:rPr>
          <w:rFonts w:ascii="宋体" w:hAnsi="宋体" w:eastAsia="宋体" w:cs="宋体"/>
          <w:color w:val="000"/>
          <w:sz w:val="28"/>
          <w:szCs w:val="28"/>
        </w:rPr>
        <w:t xml:space="preserve">DP10、WP10</w:t>
      </w:r>
    </w:p>
    <w:p>
      <w:pPr>
        <w:ind w:left="0" w:right="0" w:firstLine="560"/>
        <w:spacing w:before="450" w:after="450" w:line="312" w:lineRule="auto"/>
      </w:pPr>
      <w:r>
        <w:rPr>
          <w:rFonts w:ascii="宋体" w:hAnsi="宋体" w:eastAsia="宋体" w:cs="宋体"/>
          <w:color w:val="000"/>
          <w:sz w:val="28"/>
          <w:szCs w:val="28"/>
        </w:rPr>
        <w:t xml:space="preserve">1:1:4混合砂浆</w:t>
      </w:r>
    </w:p>
    <w:p>
      <w:pPr>
        <w:ind w:left="0" w:right="0" w:firstLine="560"/>
        <w:spacing w:before="450" w:after="450" w:line="312" w:lineRule="auto"/>
      </w:pPr>
      <w:r>
        <w:rPr>
          <w:rFonts w:ascii="宋体" w:hAnsi="宋体" w:eastAsia="宋体" w:cs="宋体"/>
          <w:color w:val="000"/>
          <w:sz w:val="28"/>
          <w:szCs w:val="28"/>
        </w:rPr>
        <w:t xml:space="preserve">DP15、WP15</w:t>
      </w:r>
    </w:p>
    <w:p>
      <w:pPr>
        <w:ind w:left="0" w:right="0" w:firstLine="560"/>
        <w:spacing w:before="450" w:after="450" w:line="312" w:lineRule="auto"/>
      </w:pPr>
      <w:r>
        <w:rPr>
          <w:rFonts w:ascii="宋体" w:hAnsi="宋体" w:eastAsia="宋体" w:cs="宋体"/>
          <w:color w:val="000"/>
          <w:sz w:val="28"/>
          <w:szCs w:val="28"/>
        </w:rPr>
        <w:t xml:space="preserve">1:3水泥砂浆</w:t>
      </w:r>
    </w:p>
    <w:p>
      <w:pPr>
        <w:ind w:left="0" w:right="0" w:firstLine="560"/>
        <w:spacing w:before="450" w:after="450" w:line="312" w:lineRule="auto"/>
      </w:pPr>
      <w:r>
        <w:rPr>
          <w:rFonts w:ascii="宋体" w:hAnsi="宋体" w:eastAsia="宋体" w:cs="宋体"/>
          <w:color w:val="000"/>
          <w:sz w:val="28"/>
          <w:szCs w:val="28"/>
        </w:rPr>
        <w:t xml:space="preserve">DP20、WP20</w:t>
      </w:r>
    </w:p>
    <w:p>
      <w:pPr>
        <w:ind w:left="0" w:right="0" w:firstLine="560"/>
        <w:spacing w:before="450" w:after="450" w:line="312" w:lineRule="auto"/>
      </w:pPr>
      <w:r>
        <w:rPr>
          <w:rFonts w:ascii="宋体" w:hAnsi="宋体" w:eastAsia="宋体" w:cs="宋体"/>
          <w:color w:val="000"/>
          <w:sz w:val="28"/>
          <w:szCs w:val="28"/>
        </w:rPr>
        <w:t xml:space="preserve">1:2水泥砂浆、1:2.5水泥砂浆、1:1:2混合砂浆</w:t>
      </w:r>
    </w:p>
    <w:p>
      <w:pPr>
        <w:ind w:left="0" w:right="0" w:firstLine="560"/>
        <w:spacing w:before="450" w:after="450" w:line="312" w:lineRule="auto"/>
      </w:pPr>
      <w:r>
        <w:rPr>
          <w:rFonts w:ascii="宋体" w:hAnsi="宋体" w:eastAsia="宋体" w:cs="宋体"/>
          <w:color w:val="000"/>
          <w:sz w:val="28"/>
          <w:szCs w:val="28"/>
        </w:rPr>
        <w:t xml:space="preserve">地面砂浆</w:t>
      </w:r>
    </w:p>
    <w:p>
      <w:pPr>
        <w:ind w:left="0" w:right="0" w:firstLine="560"/>
        <w:spacing w:before="450" w:after="450" w:line="312" w:lineRule="auto"/>
      </w:pPr>
      <w:r>
        <w:rPr>
          <w:rFonts w:ascii="宋体" w:hAnsi="宋体" w:eastAsia="宋体" w:cs="宋体"/>
          <w:color w:val="000"/>
          <w:sz w:val="28"/>
          <w:szCs w:val="28"/>
        </w:rPr>
        <w:t xml:space="preserve">DS15、WS15</w:t>
      </w:r>
    </w:p>
    <w:p>
      <w:pPr>
        <w:ind w:left="0" w:right="0" w:firstLine="560"/>
        <w:spacing w:before="450" w:after="450" w:line="312" w:lineRule="auto"/>
      </w:pPr>
      <w:r>
        <w:rPr>
          <w:rFonts w:ascii="宋体" w:hAnsi="宋体" w:eastAsia="宋体" w:cs="宋体"/>
          <w:color w:val="000"/>
          <w:sz w:val="28"/>
          <w:szCs w:val="28"/>
        </w:rPr>
        <w:t xml:space="preserve">1:2.5水泥砂浆、1:3水泥砂浆</w:t>
      </w:r>
    </w:p>
    <w:p>
      <w:pPr>
        <w:ind w:left="0" w:right="0" w:firstLine="560"/>
        <w:spacing w:before="450" w:after="450" w:line="312" w:lineRule="auto"/>
      </w:pPr>
      <w:r>
        <w:rPr>
          <w:rFonts w:ascii="宋体" w:hAnsi="宋体" w:eastAsia="宋体" w:cs="宋体"/>
          <w:color w:val="000"/>
          <w:sz w:val="28"/>
          <w:szCs w:val="28"/>
        </w:rPr>
        <w:t xml:space="preserve">DS20、WS20</w:t>
      </w:r>
    </w:p>
    <w:p>
      <w:pPr>
        <w:ind w:left="0" w:right="0" w:firstLine="560"/>
        <w:spacing w:before="450" w:after="450" w:line="312" w:lineRule="auto"/>
      </w:pPr>
      <w:r>
        <w:rPr>
          <w:rFonts w:ascii="宋体" w:hAnsi="宋体" w:eastAsia="宋体" w:cs="宋体"/>
          <w:color w:val="000"/>
          <w:sz w:val="28"/>
          <w:szCs w:val="28"/>
        </w:rPr>
        <w:t xml:space="preserve">1:2水泥砂浆</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砌体所使用的砂浆均为普通现拌砂浆，若使用干混砂浆采用以下方法调整：按相应定额中每立方米砂浆扣除人工0.2工日，灰浆搅拌台班数量乘以0.6</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砌体所使用的砂浆均为普通现拌砂浆，若使用湿拌砂浆采用以下方法调整：按相应定额中每立方米砂浆扣除人工0.45工日，灰浆搅拌台班数量乘以0.6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