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国家开放大学电大《商法》《文论专题》网络课形考网考作业(合集)答案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商法》《文论专题》网络课形考网考作业(合集)答案《商法》网络课答案形考任务1一．判断正误题10题（每小题2分，共20分）题目1法律、行政法规规定设立公司必须报经批准的，应当在公司登记前依法办理批准手续。选择一项：对错题目2...</w:t>
      </w:r>
    </w:p>
    <w:p>
      <w:pPr>
        <w:ind w:left="0" w:right="0" w:firstLine="560"/>
        <w:spacing w:before="450" w:after="450" w:line="312" w:lineRule="auto"/>
      </w:pPr>
      <w:r>
        <w:rPr>
          <w:rFonts w:ascii="宋体" w:hAnsi="宋体" w:eastAsia="宋体" w:cs="宋体"/>
          <w:color w:val="000"/>
          <w:sz w:val="28"/>
          <w:szCs w:val="28"/>
        </w:rPr>
        <w:t xml:space="preserve">国家开放大学电大《商法》《文论专题》网络课形考网考作业(合集)答案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