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2024秋冬季建筑工地防控新冠肺炎疫情应急处置预案</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秋冬季建筑工地防控新冠肺炎疫情应急处置预案一、组建机构二、应急处置三、分类处理四、后续管护2024秋冬季建筑工地防控新冠肺炎疫情应急处置预案一、组建机构凡工程项目必须按照要求立即成立由建设单位牵头的施工现场防控领导小组（以下简称防控...</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560"/>
        <w:spacing w:before="450" w:after="450" w:line="312" w:lineRule="auto"/>
      </w:pPr>
      <w:r>
        <w:rPr>
          <w:rFonts w:ascii="宋体" w:hAnsi="宋体" w:eastAsia="宋体" w:cs="宋体"/>
          <w:color w:val="000"/>
          <w:sz w:val="28"/>
          <w:szCs w:val="28"/>
        </w:rPr>
        <w:t xml:space="preserve">各地可结合实际，制定详细执行方案，做好工地防控。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2025-05-03T08:53:54+08:00</dcterms:created>
  <dcterms:modified xsi:type="dcterms:W3CDTF">2025-05-03T08:53:54+08:00</dcterms:modified>
</cp:coreProperties>
</file>

<file path=docProps/custom.xml><?xml version="1.0" encoding="utf-8"?>
<Properties xmlns="http://schemas.openxmlformats.org/officeDocument/2006/custom-properties" xmlns:vt="http://schemas.openxmlformats.org/officeDocument/2006/docPropsVTypes"/>
</file>