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落实党风廉政建设主体责任工作报告</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主体责任工作报告20**年，在市委、市人民政府正确领导下，在市纪委强有力的监督指导下，市统计局党组以习近平新时代中国特色社会主义思想为指导，进一步加强思想政治意识，提高政治站位，进一步严明党的各项纪律，压实党风廉政主体责任，...</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