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2025年度意识形态工作要点</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管理局2024年度意识形态工作要点为深入学习贯彻党的十九大精神，进一步加强胡杨林管理局意识形态工作，根据旗委相关文件精神和要求，结合保护区工作实际，制定胡杨林管理局2024年意识形态工作计划如下：一、总体要求意识形态工作是党的一项极端重...</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2025年度意识形态工作要点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为深入学习贯彻党的十九大精神，进一步加强胡杨林管理局意识形态工作，根据旗委相关文件精神和要求，结合保护区工作实际，制定胡杨林管理局2025年意识形态工作计划如下：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年度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