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区生活垃圾分类工作三年行动实施方案</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区生活垃圾分类工作三年行动实施方案为加快推进我区生活垃圾分类工作，根据国家住房城乡建设部等九部门《关于在全国地级及以上城市全面开展生活垃圾分类工作的通知》（xx〔20xx〕xx号）、《xx省人民政府办公厅关于进一步加强生活垃圾分类工作的通知...</w:t>
      </w:r>
    </w:p>
    <w:p>
      <w:pPr>
        <w:ind w:left="0" w:right="0" w:firstLine="560"/>
        <w:spacing w:before="450" w:after="450" w:line="312" w:lineRule="auto"/>
      </w:pPr>
      <w:r>
        <w:rPr>
          <w:rFonts w:ascii="宋体" w:hAnsi="宋体" w:eastAsia="宋体" w:cs="宋体"/>
          <w:color w:val="000"/>
          <w:sz w:val="28"/>
          <w:szCs w:val="28"/>
        </w:rPr>
        <w:t xml:space="preserve">区生活垃圾分类工作三年行动实施方案</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建设部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2025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2025年，非公共机构开展生活垃圾分类工作，力争实现全覆盖。全区生活垃圾分类覆盖率达到30%，农村“生态美超市”乡镇覆盖率达到95%。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2025年，生活垃圾分类覆盖率达到50%以上。农村“生态美超市”乡镇实现全覆盖。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区委统战部：负责指导促进宗教团体开展生活垃圾分类工作，发挥宗教界和信教群众在生活垃圾分类工作中的积极作用；对全区宗教活动场所有重点地进行生活垃圾分类工作引导和管理。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进一步完善生活垃圾分类收集、运输、处理系统。合理布局分类收集容器，加快生活垃圾分类处理设施建设。加快黄山区餐厨垃圾收集转运系统建设，2025年6月底前投入运行。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2025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2025年2月底前，编制完成城市生活垃圾分类工作行动计划。2025年底前,全区党政机关、事业单位、社会组织、公共场所管理单位等公共机构实现生活垃圾强制分类全覆盖，生活垃圾回收利用率达到50%，完成1个街道基本建成生活垃圾分类示范片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2025-07-07T19:47:20+08:00</dcterms:created>
  <dcterms:modified xsi:type="dcterms:W3CDTF">2025-07-07T19:47:20+08:00</dcterms:modified>
</cp:coreProperties>
</file>

<file path=docProps/custom.xml><?xml version="1.0" encoding="utf-8"?>
<Properties xmlns="http://schemas.openxmlformats.org/officeDocument/2006/custom-properties" xmlns:vt="http://schemas.openxmlformats.org/officeDocument/2006/docPropsVTypes"/>
</file>