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最新国家开放大学电大《桥梁工程技术》网络课形考网考作业及答案</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网络课形考网考作业及答案100%通过考试说明：2024年秋期电大把该网络课纳入到“国开平台”进行考核，该课程共有4个形考任务，针对该门课程，本人汇总了该科所有的题，形成一个完整的标准题库，并且以后会不断更...</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