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玉溪2024年学前教育特岗教师考前习题六</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第一篇：玉溪2024年学前教育特岗教师考前习题六玉溪2024年学前教育特岗教师考前习题六一、单项选择题1、（）强调为儿童提供实物，让他们自己主动操作，视儿童为主动学习者、建构者。A.布鲁纳 B.维果斯基  C.皮亚杰 D.杜威2、对幼儿参...</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