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三级数学科教学工作总结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级数学科教学工作总结四年级数学科教学工作总结匆匆忙忙又一年，平心静气坐下来反思一年的教学情况，有苦、有甜，而更多的是思考！不过在与学生们一起相处、教学相长过程中，也着时有不少的收获。为使下一阶段的工作更顺利地开展，现对本学期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第一篇：三级数学科教学工作总结</w:t>
      </w:r>
    </w:p>
    <w:p>
      <w:pPr>
        <w:ind w:left="0" w:right="0" w:firstLine="560"/>
        <w:spacing w:before="450" w:after="450" w:line="312" w:lineRule="auto"/>
      </w:pPr>
      <w:r>
        <w:rPr>
          <w:rFonts w:ascii="宋体" w:hAnsi="宋体" w:eastAsia="宋体" w:cs="宋体"/>
          <w:color w:val="000"/>
          <w:sz w:val="28"/>
          <w:szCs w:val="28"/>
        </w:rPr>
        <w:t xml:space="preserve">四年级数学科教学工作总结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