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2024年1-4月陕西省经济运行情况</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陕西省经济运行情况2024年1-4月陕西省经济运行情况前4个月，全省经济延续一季度平稳增长态势，主要经济指标均保持稳定增长，经济下行压力依然较大。一、工业生产平稳增长1-4月，全省规模以上工业企业实现工业增加值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