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区政府2024年工作报告</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2024年工作报告区政府2024年工作报告各位代表：现在，我代表路桥区人民政府向大会作工作报告，请予审议，并请参加大会的区政协委员和其他列席人员提出意见。一、2024年政府工作回顾2024年是十分不平凡的一年，是贯彻中央加强...</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第一篇：区政府2024年工作报告</w:t>
      </w:r>
    </w:p>
    <w:p>
      <w:pPr>
        <w:ind w:left="0" w:right="0" w:firstLine="560"/>
        <w:spacing w:before="450" w:after="450" w:line="312" w:lineRule="auto"/>
      </w:pPr>
      <w:r>
        <w:rPr>
          <w:rFonts w:ascii="宋体" w:hAnsi="宋体" w:eastAsia="宋体" w:cs="宋体"/>
          <w:color w:val="000"/>
          <w:sz w:val="28"/>
          <w:szCs w:val="28"/>
        </w:rPr>
        <w:t xml:space="preserve">区政府2024年工作报告各位代表：现在，我代表路桥区人民政府向大会作工作报告，请予审议，并请参加大会的区政协委员和其他列席人员提出意见。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一、2024年政府工作回顾2024年是十分不平凡的一年，是贯彻中央加强和改善宏观调控制政策、部署和推进“六个路桥”的重要一年，也是土地、电力等要素严重制约和强台风袭击等严重困难的一年。全区上下</w:t>
      </w:r>
    </w:p>
    <w:p>
      <w:pPr>
        <w:ind w:left="0" w:right="0" w:firstLine="560"/>
        <w:spacing w:before="450" w:after="450" w:line="312" w:lineRule="auto"/>
      </w:pPr>
      <w:r>
        <w:rPr>
          <w:rFonts w:ascii="宋体" w:hAnsi="宋体" w:eastAsia="宋体" w:cs="宋体"/>
          <w:color w:val="000"/>
          <w:sz w:val="28"/>
          <w:szCs w:val="28"/>
        </w:rPr>
        <w:t xml:space="preserve">在区委领导下，以科学发展观为指导，迎难而上，扎实工作。全区实现国内生产总值155.7亿元，增长15.6，其中，第一产业增加值亿元，增长；第二产业增加值亿元，增长；第三产业增加值亿元，增长。全社会固定资产投资总额亿元，其中工业生产性投入亿元，分别增长、。财政总收入和地方财政收入分别为15.4亿元、7.77亿元（按新口径统计分别为12.68亿元、7.09亿元），分别增长20.67、23.7。农民人均纯收入7516元，增长13.2。人口自然增长率。一年来，我们致力于制造路桥建设，产业结构进一步优化。全面落实市委“工业立市”战略，坚持量质并举，全区实现工业总产值423亿元，增长14。工业园区得到整合提升。中部工业园区巨科和吉奥两企业实现批量生产；吉利汽车城四大工艺车间竣工、一期工程全面完成；镇（街道）十大特色产业基地块状集聚能力进一步增强。支柱产业继续壮大。完善了汽车等支柱产业发展规划，出台了“1212工程”企业培育方案，加快大企业集团培育，新增产值亿元以上企业12家，总计42家，规模以上企业实现产值160.37亿元，增长36.9。企业创新步伐加快。新增股份公司4家，金龙电机、三鸥集团相继进入上市辅导期；企业管理信息化、精益生产等模式逐步推广；兑现技改贴息专项资金1010万元，实施技改项目项，新增省级研发中心2家，新增国家级高新技术企业3家，总量居全市首位，完成省级高新技术产品认定13项、国家级火炬计划项目3项、国家星火计划项目2项，组建了中科院合肥智能机械台州传感器研发中心，重点企业装备水平有了较大改善。企业发展环境有所改善。以“工业服务月”活动，大力支持企业灾后生产自救、强化行业质量整治；出台集约用地制度，推进三山涂、黄礁涂围垦工程，开展废弃地、旧宅基地等土地存量盘活和标准厂房建设，建设标准厂房19万平方米；推行有序用电管理，加快输变电工程建设，平稳度过电荒；发挥中小企业担保公司作用，缓解中小企业融资困难问题。“企业家俱乐部”等素质培训。一年来，我们致力于商贸路桥建设，商贸业态进一步提升。全区实现消费品零售总额亿元，增；全年市场成交额244.30亿元，增9.77。重点商贸设施进展顺利。完成商贸设施投资2.47亿元，耀江新世纪广场、台州电子数码城二期等项目动工兴建，华东塑料城、中部工业区欧式商业街完成初步规划设计，生产资料市场区已安排首批市场入园，商城第三交易区重建开业。全区星级市场达19家，其中省四星级市场1家，首批14家重点市场财产保险工作顺利完成。零售业态发展迅猛。全区第一家百货商场顺利营业，成功引进沃尔玛超市，全区已有各类连锁店65家，各类总经销、总代理和特约经销达1723多家。会展经济势头良好。成功举办了第四届塑交会、第六届日交会、第二届国际汽车展、首届汽车工业博览会等17个有较大影响的展会，国际会展中心运转良好，会展业与制造业发展的关联度显著增强。金融业再上台阶。成功组建全市首家农村合作银行；年末金融机构各类存款余额超突破200亿元，全年存贷比为72.4。一年来，我们致力于都市路桥建设，城市品位进一步提高。城市规划编制取得重大突破。编制完成路桥分区规划、城乡一体化规划、远东商贸广场修建性详规、新行政文化中心城市设计等重大规划，基本完成交通、绿化、供排水等专项规划。重大工程项目取得新进展。完成基本建设投资*亿元，重点工程*亿元，世纪广场、东方大道一期、中心大道路桥段、财富大道、十里长街二期修缮等工程相继完工，恩泽医疗中心、民营经济发展论坛项目、路院路连接线、南山生态观光区等工程继续推进，甬台温铁路及场站、台州供水二期樟岙水厂、沿海高速公路路桥段等重大工程的前期准备工作进展顺利。城市功能不断完善。新改建城市道路*公里，整治河道9.25公里；新增城市绿地81万平方米，其中公共绿地*万平方米；敷设污水管网21.2公里，污水处理率达90。建成220KV金清变、双水变和巨科发电项目。居住小区建设不断推进，望景湾小区建成使用，山水华庭小区即将建成，水天一色和“立改套”小区相继开工。城市经营和管理继续加强。全年完成供地亩，共筹土地出让金亿元；“三市一城”创建初见成效，顺利通过省级文明城区验收；大力整治土地市场秩序，土地市场逐步规范；完成房屋拆迁余万平方米，拆违平方米；“安捷工程”取得明显成效。一年来，我们致力于开放路桥建设，外向经济进一步壮大。引资规模。积极举办各类洽谈会（说明会）引进大项目，创新实行工业</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