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人民代表大会制度：我国的根本政治制度政治</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政治第五课我国的人民代表大会制度5．2人民代表大会制度：我国的根本政治制度【学习目标】1．明确全国人民代表大会是我国的最高国家权力机关，组织原则是民主集中制，国体与政体的关系。2.理解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