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企业经营管理人才队伍建设综合调研报告5篇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综合调研报告一、企业经营管理人才队伍建设现状分析：近几年来，全县工业经济呈快速增长态势，随着认真落实“开放兴县、工业立县、惠民强县”三大主体战略和五项重点工作，实现了民营经济稳步发展，全县企业经营管理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