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民生银行总体经营概况</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第一篇：民生银行总体经营概况民生银行总体经营概况2024 年，本公司积极应对宏观经济环境和监管政策的调整和变化，紧密围绕着 “民营 企业银行、小微企业银行、高端客户银行”战略定位，持续打造“特色银行”和“效益银行” 经营目标，遵循“坚持特...</w:t>
      </w:r>
    </w:p>
    <w:p>
      <w:pPr>
        <w:ind w:left="0" w:right="0" w:firstLine="560"/>
        <w:spacing w:before="450" w:after="450" w:line="312" w:lineRule="auto"/>
      </w:pPr>
      <w:r>
        <w:rPr>
          <w:rFonts w:ascii="黑体" w:hAnsi="黑体" w:eastAsia="黑体" w:cs="黑体"/>
          <w:color w:val="000000"/>
          <w:sz w:val="36"/>
          <w:szCs w:val="36"/>
          <w:b w:val="1"/>
          <w:bCs w:val="1"/>
        </w:rPr>
        <w:t xml:space="preserve">第一篇：民生银行总体经营概况</w:t>
      </w:r>
    </w:p>
    <w:p>
      <w:pPr>
        <w:ind w:left="0" w:right="0" w:firstLine="560"/>
        <w:spacing w:before="450" w:after="450" w:line="312" w:lineRule="auto"/>
      </w:pPr>
      <w:r>
        <w:rPr>
          <w:rFonts w:ascii="宋体" w:hAnsi="宋体" w:eastAsia="宋体" w:cs="宋体"/>
          <w:color w:val="000"/>
          <w:sz w:val="28"/>
          <w:szCs w:val="28"/>
        </w:rPr>
        <w:t xml:space="preserve">民生银行总体经营概况</w:t>
      </w:r>
    </w:p>
    <w:p>
      <w:pPr>
        <w:ind w:left="0" w:right="0" w:firstLine="560"/>
        <w:spacing w:before="450" w:after="450" w:line="312" w:lineRule="auto"/>
      </w:pPr>
      <w:r>
        <w:rPr>
          <w:rFonts w:ascii="宋体" w:hAnsi="宋体" w:eastAsia="宋体" w:cs="宋体"/>
          <w:color w:val="000"/>
          <w:sz w:val="28"/>
          <w:szCs w:val="28"/>
        </w:rPr>
        <w:t xml:space="preserve">2024 年，本公司积极应对宏观经济环境和监管政策的调整和变化，紧密围绕着 “民营 企业银行、小微企业银行、高端客户银行”战略定位，持续打造“特色银行”和“效益银行” 经营目标，遵循“坚持特色、突出重点、强化管理、加速改革”的指导思想，积极克服困难，坚持实施转型，并取得显著成效，盈利能力持续提升，经营业绩大幅增长。</w:t>
      </w:r>
    </w:p>
    <w:p>
      <w:pPr>
        <w:ind w:left="0" w:right="0" w:firstLine="560"/>
        <w:spacing w:before="450" w:after="450" w:line="312" w:lineRule="auto"/>
      </w:pPr>
      <w:r>
        <w:rPr>
          <w:rFonts w:ascii="宋体" w:hAnsi="宋体" w:eastAsia="宋体" w:cs="宋体"/>
          <w:color w:val="000"/>
          <w:sz w:val="28"/>
          <w:szCs w:val="28"/>
        </w:rPr>
        <w:t xml:space="preserve">（一）盈利能力不断提升，股东回报持续提高</w:t>
      </w:r>
    </w:p>
    <w:p>
      <w:pPr>
        <w:ind w:left="0" w:right="0" w:firstLine="560"/>
        <w:spacing w:before="450" w:after="450" w:line="312" w:lineRule="auto"/>
      </w:pPr>
      <w:r>
        <w:rPr>
          <w:rFonts w:ascii="宋体" w:hAnsi="宋体" w:eastAsia="宋体" w:cs="宋体"/>
          <w:color w:val="000"/>
          <w:sz w:val="28"/>
          <w:szCs w:val="28"/>
        </w:rPr>
        <w:t xml:space="preserve">报告期内，本集团实现归属于母公司股东的净利润 279.20 亿元，同比增加 103.39 亿 元，增幅 58.81%；平均总资产收益率 1.40%，同比增加 0.31 个百分点；加权平均净资产 收益率 23.95%，同比增加 5.66 个百分点；基本每股收益 1.05 元，同比增加 0.39 元，增幅 59.09%。</w:t>
      </w:r>
    </w:p>
    <w:p>
      <w:pPr>
        <w:ind w:left="0" w:right="0" w:firstLine="560"/>
        <w:spacing w:before="450" w:after="450" w:line="312" w:lineRule="auto"/>
      </w:pPr>
      <w:r>
        <w:rPr>
          <w:rFonts w:ascii="宋体" w:hAnsi="宋体" w:eastAsia="宋体" w:cs="宋体"/>
          <w:color w:val="000"/>
          <w:sz w:val="28"/>
          <w:szCs w:val="28"/>
        </w:rPr>
        <w:t xml:space="preserve">（二）收入结构不断优化，中间业务收入占比明显提高</w:t>
      </w:r>
    </w:p>
    <w:p>
      <w:pPr>
        <w:ind w:left="0" w:right="0" w:firstLine="560"/>
        <w:spacing w:before="450" w:after="450" w:line="312" w:lineRule="auto"/>
      </w:pPr>
      <w:r>
        <w:rPr>
          <w:rFonts w:ascii="宋体" w:hAnsi="宋体" w:eastAsia="宋体" w:cs="宋体"/>
          <w:color w:val="000"/>
          <w:sz w:val="28"/>
          <w:szCs w:val="28"/>
        </w:rPr>
        <w:t xml:space="preserve">报告期内，本集团实现营业收入 823.68 亿元，同比增加 276.00 亿元，增幅 50.39%；净息差达到 3.14%，同比提高 0.20 个百分点。其中，净利息收入 648.21 亿元，同比增加 189.48 亿元，增幅 41.31%；净非利息收入 175.47 亿元，增加 86.52 亿元，增幅 97.27%； 手续费及佣金净收入 151.01 亿元，增加 68.12 亿元，增幅 82.18%。手续费及佣金净收入 占营业收入比率为 18.33%，比上年提高 3.20 个百分点。</w:t>
      </w:r>
    </w:p>
    <w:p>
      <w:pPr>
        <w:ind w:left="0" w:right="0" w:firstLine="560"/>
        <w:spacing w:before="450" w:after="450" w:line="312" w:lineRule="auto"/>
      </w:pPr>
      <w:r>
        <w:rPr>
          <w:rFonts w:ascii="宋体" w:hAnsi="宋体" w:eastAsia="宋体" w:cs="宋体"/>
          <w:color w:val="000"/>
          <w:sz w:val="28"/>
          <w:szCs w:val="28"/>
        </w:rPr>
        <w:t xml:space="preserve">（三）资产负债业务稳健发展，战略业务结构调整进一步深化</w:t>
      </w:r>
    </w:p>
    <w:p>
      <w:pPr>
        <w:ind w:left="0" w:right="0" w:firstLine="560"/>
        <w:spacing w:before="450" w:after="450" w:line="312" w:lineRule="auto"/>
      </w:pPr>
      <w:r>
        <w:rPr>
          <w:rFonts w:ascii="宋体" w:hAnsi="宋体" w:eastAsia="宋体" w:cs="宋体"/>
          <w:color w:val="000"/>
          <w:sz w:val="28"/>
          <w:szCs w:val="28"/>
        </w:rPr>
        <w:t xml:space="preserve">报告期内，本集团资产总额、负债总额均突破两万亿元大关。报告期末，本集团资产总 额 22,290.64 亿元，比上年末增加 4,053.27 亿元，增幅 22.23%；负债总额 20,949.54 亿元，比上年末增加 3,764.74 亿元，增幅 21.91%。贷款和垫款总额 12,052.21 亿元，比上年末增 加 1,476.50 亿元，增幅 13.96%；客户存款总额 16,447.38 亿元，比上年末增加 2,268.61 亿元，增幅 16.00%。截至报告期末，作为本公司战略业务的“商贷通”贷款余额达到 2,324.95 亿元，比上年末增加 735.09 亿元，增幅 46.24%，“商贷通”客户总数达到约 15 万户；本公司民企一般贷款余额 4,841.62 亿元，比上年末增长 24.58%，有余额民企贷款客户达到 11,353 户；私人银行客户数量达到 4,650 户，管理金融资产规模达到 684 亿元。</w:t>
      </w:r>
    </w:p>
    <w:p>
      <w:pPr>
        <w:ind w:left="0" w:right="0" w:firstLine="560"/>
        <w:spacing w:before="450" w:after="450" w:line="312" w:lineRule="auto"/>
      </w:pPr>
      <w:r>
        <w:rPr>
          <w:rFonts w:ascii="宋体" w:hAnsi="宋体" w:eastAsia="宋体" w:cs="宋体"/>
          <w:color w:val="000"/>
          <w:sz w:val="28"/>
          <w:szCs w:val="28"/>
        </w:rPr>
        <w:t xml:space="preserve">（四）以抵御风险为导向，资产质量保持稳定</w:t>
      </w:r>
    </w:p>
    <w:p>
      <w:pPr>
        <w:ind w:left="0" w:right="0" w:firstLine="560"/>
        <w:spacing w:before="450" w:after="450" w:line="312" w:lineRule="auto"/>
      </w:pPr>
      <w:r>
        <w:rPr>
          <w:rFonts w:ascii="宋体" w:hAnsi="宋体" w:eastAsia="宋体" w:cs="宋体"/>
          <w:color w:val="000"/>
          <w:sz w:val="28"/>
          <w:szCs w:val="28"/>
        </w:rPr>
        <w:t xml:space="preserve">报告期末，本集团不良贷款比率为 0.63%，较上年末降低 0.06 个百分点；拨备覆盖率 达到 357.29%，较上年末提高 86.84 个百分点；贷款拨备率为 2.23%，比上年末提高 0.35 个百分点，抵御风险能力进一步增强。</w:t>
      </w:r>
    </w:p>
    <w:p>
      <w:pPr>
        <w:ind w:left="0" w:right="0" w:firstLine="560"/>
        <w:spacing w:before="450" w:after="450" w:line="312" w:lineRule="auto"/>
      </w:pPr>
      <w:r>
        <w:rPr>
          <w:rFonts w:ascii="宋体" w:hAnsi="宋体" w:eastAsia="宋体" w:cs="宋体"/>
          <w:color w:val="000"/>
          <w:sz w:val="28"/>
          <w:szCs w:val="28"/>
        </w:rPr>
        <w:t xml:space="preserve">（五）成本收入比持续改善，运营效率不断提升</w:t>
      </w:r>
    </w:p>
    <w:p>
      <w:pPr>
        <w:ind w:left="0" w:right="0" w:firstLine="560"/>
        <w:spacing w:before="450" w:after="450" w:line="312" w:lineRule="auto"/>
      </w:pPr>
      <w:r>
        <w:rPr>
          <w:rFonts w:ascii="宋体" w:hAnsi="宋体" w:eastAsia="宋体" w:cs="宋体"/>
          <w:color w:val="000"/>
          <w:sz w:val="28"/>
          <w:szCs w:val="28"/>
        </w:rPr>
        <w:t xml:space="preserve">本集团不断加强和完善成本费用管理，持续改善成本收入比，不断提升运营效率。报告 期末，本集团成本收入比为 35.61%，同比下降 3.87 个百分点。</w:t>
      </w:r>
    </w:p>
    <w:p>
      <w:pPr>
        <w:ind w:left="0" w:right="0" w:firstLine="560"/>
        <w:spacing w:before="450" w:after="450" w:line="312" w:lineRule="auto"/>
      </w:pPr>
      <w:r>
        <w:rPr>
          <w:rFonts w:ascii="宋体" w:hAnsi="宋体" w:eastAsia="宋体" w:cs="宋体"/>
          <w:color w:val="000"/>
          <w:sz w:val="28"/>
          <w:szCs w:val="28"/>
        </w:rPr>
        <w:t xml:space="preserve">三、利润表主要项目分析</w:t>
      </w:r>
    </w:p>
    <w:p>
      <w:pPr>
        <w:ind w:left="0" w:right="0" w:firstLine="560"/>
        <w:spacing w:before="450" w:after="450" w:line="312" w:lineRule="auto"/>
      </w:pPr>
      <w:r>
        <w:rPr>
          <w:rFonts w:ascii="宋体" w:hAnsi="宋体" w:eastAsia="宋体" w:cs="宋体"/>
          <w:color w:val="000"/>
          <w:sz w:val="28"/>
          <w:szCs w:val="28"/>
        </w:rPr>
        <w:t xml:space="preserve">报告期内，本集团盈利能力进一步提高，实现归属于母公司股东的净利润279.20亿元，同比增长58.81%，业绩增长的主要驱动因素是营业收入大幅增长、成本收入比持续改善、资产质量保持稳定。</w:t>
      </w:r>
    </w:p>
    <w:p>
      <w:pPr>
        <w:ind w:left="0" w:right="0" w:firstLine="560"/>
        <w:spacing w:before="450" w:after="450" w:line="312" w:lineRule="auto"/>
      </w:pPr>
      <w:r>
        <w:rPr>
          <w:rFonts w:ascii="宋体" w:hAnsi="宋体" w:eastAsia="宋体" w:cs="宋体"/>
          <w:color w:val="000"/>
          <w:sz w:val="28"/>
          <w:szCs w:val="28"/>
        </w:rPr>
        <w:t xml:space="preserve">下表列示出本集团主要损益项目及变动：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项 目 2024年2024年增幅（%）营业收入 82,36854,76850.39</w:t>
      </w:r>
    </w:p>
    <w:p>
      <w:pPr>
        <w:ind w:left="0" w:right="0" w:firstLine="560"/>
        <w:spacing w:before="450" w:after="450" w:line="312" w:lineRule="auto"/>
      </w:pPr>
      <w:r>
        <w:rPr>
          <w:rFonts w:ascii="宋体" w:hAnsi="宋体" w:eastAsia="宋体" w:cs="宋体"/>
          <w:color w:val="000"/>
          <w:sz w:val="28"/>
          <w:szCs w:val="28"/>
        </w:rPr>
        <w:t xml:space="preserve">其中：净利息收入 64,82145,87341.31</w:t>
      </w:r>
    </w:p>
    <w:p>
      <w:pPr>
        <w:ind w:left="0" w:right="0" w:firstLine="560"/>
        <w:spacing w:before="450" w:after="450" w:line="312" w:lineRule="auto"/>
      </w:pPr>
      <w:r>
        <w:rPr>
          <w:rFonts w:ascii="宋体" w:hAnsi="宋体" w:eastAsia="宋体" w:cs="宋体"/>
          <w:color w:val="000"/>
          <w:sz w:val="28"/>
          <w:szCs w:val="28"/>
        </w:rPr>
        <w:t xml:space="preserve">净非利息收入 17,5478,89597.27</w:t>
      </w:r>
    </w:p>
    <w:p>
      <w:pPr>
        <w:ind w:left="0" w:right="0" w:firstLine="560"/>
        <w:spacing w:before="450" w:after="450" w:line="312" w:lineRule="auto"/>
      </w:pPr>
      <w:r>
        <w:rPr>
          <w:rFonts w:ascii="宋体" w:hAnsi="宋体" w:eastAsia="宋体" w:cs="宋体"/>
          <w:color w:val="000"/>
          <w:sz w:val="28"/>
          <w:szCs w:val="28"/>
        </w:rPr>
        <w:t xml:space="preserve">营业支出 45,08331,75741.96</w:t>
      </w:r>
    </w:p>
    <w:p>
      <w:pPr>
        <w:ind w:left="0" w:right="0" w:firstLine="560"/>
        <w:spacing w:before="450" w:after="450" w:line="312" w:lineRule="auto"/>
      </w:pPr>
      <w:r>
        <w:rPr>
          <w:rFonts w:ascii="宋体" w:hAnsi="宋体" w:eastAsia="宋体" w:cs="宋体"/>
          <w:color w:val="000"/>
          <w:sz w:val="28"/>
          <w:szCs w:val="28"/>
        </w:rPr>
        <w:t xml:space="preserve">其中：业务及管理费 29,33321,62535.64</w:t>
      </w:r>
    </w:p>
    <w:p>
      <w:pPr>
        <w:ind w:left="0" w:right="0" w:firstLine="560"/>
        <w:spacing w:before="450" w:after="450" w:line="312" w:lineRule="auto"/>
      </w:pPr>
      <w:r>
        <w:rPr>
          <w:rFonts w:ascii="宋体" w:hAnsi="宋体" w:eastAsia="宋体" w:cs="宋体"/>
          <w:color w:val="000"/>
          <w:sz w:val="28"/>
          <w:szCs w:val="28"/>
        </w:rPr>
        <w:t xml:space="preserve">营业税金及附加 6,1163,82759.81</w:t>
      </w:r>
    </w:p>
    <w:p>
      <w:pPr>
        <w:ind w:left="0" w:right="0" w:firstLine="560"/>
        <w:spacing w:before="450" w:after="450" w:line="312" w:lineRule="auto"/>
      </w:pPr>
      <w:r>
        <w:rPr>
          <w:rFonts w:ascii="宋体" w:hAnsi="宋体" w:eastAsia="宋体" w:cs="宋体"/>
          <w:color w:val="000"/>
          <w:sz w:val="28"/>
          <w:szCs w:val="28"/>
        </w:rPr>
        <w:t xml:space="preserve">资产减值损失 8,3765,50452.18</w:t>
      </w:r>
    </w:p>
    <w:p>
      <w:pPr>
        <w:ind w:left="0" w:right="0" w:firstLine="560"/>
        <w:spacing w:before="450" w:after="450" w:line="312" w:lineRule="auto"/>
      </w:pPr>
      <w:r>
        <w:rPr>
          <w:rFonts w:ascii="宋体" w:hAnsi="宋体" w:eastAsia="宋体" w:cs="宋体"/>
          <w:color w:val="000"/>
          <w:sz w:val="28"/>
          <w:szCs w:val="28"/>
        </w:rPr>
        <w:t xml:space="preserve">其他业务成本 1,25880157.05</w:t>
      </w:r>
    </w:p>
    <w:p>
      <w:pPr>
        <w:ind w:left="0" w:right="0" w:firstLine="560"/>
        <w:spacing w:before="450" w:after="450" w:line="312" w:lineRule="auto"/>
      </w:pPr>
      <w:r>
        <w:rPr>
          <w:rFonts w:ascii="宋体" w:hAnsi="宋体" w:eastAsia="宋体" w:cs="宋体"/>
          <w:color w:val="000"/>
          <w:sz w:val="28"/>
          <w:szCs w:val="28"/>
        </w:rPr>
        <w:t xml:space="preserve">营业利润 37,28523,01162.03</w:t>
      </w:r>
    </w:p>
    <w:p>
      <w:pPr>
        <w:ind w:left="0" w:right="0" w:firstLine="560"/>
        <w:spacing w:before="450" w:after="450" w:line="312" w:lineRule="auto"/>
      </w:pPr>
      <w:r>
        <w:rPr>
          <w:rFonts w:ascii="宋体" w:hAnsi="宋体" w:eastAsia="宋体" w:cs="宋体"/>
          <w:color w:val="000"/>
          <w:sz w:val="28"/>
          <w:szCs w:val="28"/>
        </w:rPr>
        <w:t xml:space="preserve">加：营业外收支净额-110-35214.29</w:t>
      </w:r>
    </w:p>
    <w:p>
      <w:pPr>
        <w:ind w:left="0" w:right="0" w:firstLine="560"/>
        <w:spacing w:before="450" w:after="450" w:line="312" w:lineRule="auto"/>
      </w:pPr>
      <w:r>
        <w:rPr>
          <w:rFonts w:ascii="宋体" w:hAnsi="宋体" w:eastAsia="宋体" w:cs="宋体"/>
          <w:color w:val="000"/>
          <w:sz w:val="28"/>
          <w:szCs w:val="28"/>
        </w:rPr>
        <w:t xml:space="preserve">利润总额 37,17522,97661.80</w:t>
      </w:r>
    </w:p>
    <w:p>
      <w:pPr>
        <w:ind w:left="0" w:right="0" w:firstLine="560"/>
        <w:spacing w:before="450" w:after="450" w:line="312" w:lineRule="auto"/>
      </w:pPr>
      <w:r>
        <w:rPr>
          <w:rFonts w:ascii="宋体" w:hAnsi="宋体" w:eastAsia="宋体" w:cs="宋体"/>
          <w:color w:val="000"/>
          <w:sz w:val="28"/>
          <w:szCs w:val="28"/>
        </w:rPr>
        <w:t xml:space="preserve">减：所得税费用 8,7325,28865.13</w:t>
      </w:r>
    </w:p>
    <w:p>
      <w:pPr>
        <w:ind w:left="0" w:right="0" w:firstLine="560"/>
        <w:spacing w:before="450" w:after="450" w:line="312" w:lineRule="auto"/>
      </w:pPr>
      <w:r>
        <w:rPr>
          <w:rFonts w:ascii="宋体" w:hAnsi="宋体" w:eastAsia="宋体" w:cs="宋体"/>
          <w:color w:val="000"/>
          <w:sz w:val="28"/>
          <w:szCs w:val="28"/>
        </w:rPr>
        <w:t xml:space="preserve">净利润 28,44317,68860.80</w:t>
      </w:r>
    </w:p>
    <w:p>
      <w:pPr>
        <w:ind w:left="0" w:right="0" w:firstLine="560"/>
        <w:spacing w:before="450" w:after="450" w:line="312" w:lineRule="auto"/>
      </w:pPr>
      <w:r>
        <w:rPr>
          <w:rFonts w:ascii="宋体" w:hAnsi="宋体" w:eastAsia="宋体" w:cs="宋体"/>
          <w:color w:val="000"/>
          <w:sz w:val="28"/>
          <w:szCs w:val="28"/>
        </w:rPr>
        <w:t xml:space="preserve">其中：归属于母公司股东的净利润27,92017,58158.8</w:t>
      </w:r>
    </w:p>
    <w:p>
      <w:pPr>
        <w:ind w:left="0" w:right="0" w:firstLine="560"/>
        <w:spacing w:before="450" w:after="450" w:line="312" w:lineRule="auto"/>
      </w:pPr>
      <w:r>
        <w:rPr>
          <w:rFonts w:ascii="宋体" w:hAnsi="宋体" w:eastAsia="宋体" w:cs="宋体"/>
          <w:color w:val="000"/>
          <w:sz w:val="28"/>
          <w:szCs w:val="28"/>
        </w:rPr>
        <w:t xml:space="preserve">1归属于少数股东的损益 523107388.79</w:t>
      </w:r>
    </w:p>
    <w:p>
      <w:pPr>
        <w:ind w:left="0" w:right="0" w:firstLine="560"/>
        <w:spacing w:before="450" w:after="450" w:line="312" w:lineRule="auto"/>
      </w:pPr>
      <w:r>
        <w:rPr>
          <w:rFonts w:ascii="宋体" w:hAnsi="宋体" w:eastAsia="宋体" w:cs="宋体"/>
          <w:color w:val="000"/>
          <w:sz w:val="28"/>
          <w:szCs w:val="28"/>
        </w:rPr>
        <w:t xml:space="preserve">（一）净利息收入及净息差</w:t>
      </w:r>
    </w:p>
    <w:p>
      <w:pPr>
        <w:ind w:left="0" w:right="0" w:firstLine="560"/>
        <w:spacing w:before="450" w:after="450" w:line="312" w:lineRule="auto"/>
      </w:pPr>
      <w:r>
        <w:rPr>
          <w:rFonts w:ascii="宋体" w:hAnsi="宋体" w:eastAsia="宋体" w:cs="宋体"/>
          <w:color w:val="000"/>
          <w:sz w:val="28"/>
          <w:szCs w:val="28"/>
        </w:rPr>
        <w:t xml:space="preserve">报告期内，本集团实现净利息收入648.21亿元，同比增加189.48亿元，增幅41.31%，主要由于净息差的提升和生息资产规模的扩大。其中，净息差提升促进净利息收入增长 104.27亿元；生息资产扩大促进净利息收入增长85.21亿元。2024年，本集团净息差为3.14%，比上年提高0.20个百分点。净息差提升的主要原因是 战略转型、业务结构有效调整、资金业务利差提高及基准利率调整等因素。</w:t>
      </w:r>
    </w:p>
    <w:p>
      <w:pPr>
        <w:ind w:left="0" w:right="0" w:firstLine="560"/>
        <w:spacing w:before="450" w:after="450" w:line="312" w:lineRule="auto"/>
      </w:pPr>
      <w:r>
        <w:rPr>
          <w:rFonts w:ascii="宋体" w:hAnsi="宋体" w:eastAsia="宋体" w:cs="宋体"/>
          <w:color w:val="000"/>
          <w:sz w:val="28"/>
          <w:szCs w:val="28"/>
        </w:rPr>
        <w:t xml:space="preserve">本集团净利息收入情况如下表：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2024 年 2024年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生息资产</w:t>
      </w:r>
    </w:p>
    <w:p>
      <w:pPr>
        <w:ind w:left="0" w:right="0" w:firstLine="560"/>
        <w:spacing w:before="450" w:after="450" w:line="312" w:lineRule="auto"/>
      </w:pPr>
      <w:r>
        <w:rPr>
          <w:rFonts w:ascii="宋体" w:hAnsi="宋体" w:eastAsia="宋体" w:cs="宋体"/>
          <w:color w:val="000"/>
          <w:sz w:val="28"/>
          <w:szCs w:val="28"/>
        </w:rPr>
        <w:t xml:space="preserve">贷款和垫款 1,130,746 80,958 7.16 971,602 56,218 5.79</w:t>
      </w:r>
    </w:p>
    <w:p>
      <w:pPr>
        <w:ind w:left="0" w:right="0" w:firstLine="560"/>
        <w:spacing w:before="450" w:after="450" w:line="312" w:lineRule="auto"/>
      </w:pPr>
      <w:r>
        <w:rPr>
          <w:rFonts w:ascii="宋体" w:hAnsi="宋体" w:eastAsia="宋体" w:cs="宋体"/>
          <w:color w:val="000"/>
          <w:sz w:val="28"/>
          <w:szCs w:val="28"/>
        </w:rPr>
        <w:t xml:space="preserve">公司贷款 811,097 58,112 7.16 758,338 44,138 5.82</w:t>
      </w:r>
    </w:p>
    <w:p>
      <w:pPr>
        <w:ind w:left="0" w:right="0" w:firstLine="560"/>
        <w:spacing w:before="450" w:after="450" w:line="312" w:lineRule="auto"/>
      </w:pPr>
      <w:r>
        <w:rPr>
          <w:rFonts w:ascii="宋体" w:hAnsi="宋体" w:eastAsia="宋体" w:cs="宋体"/>
          <w:color w:val="000"/>
          <w:sz w:val="28"/>
          <w:szCs w:val="28"/>
        </w:rPr>
        <w:t xml:space="preserve">个人贷款 319,649 22,846 7.15 213,264 12,080 5.66</w:t>
      </w:r>
    </w:p>
    <w:p>
      <w:pPr>
        <w:ind w:left="0" w:right="0" w:firstLine="560"/>
        <w:spacing w:before="450" w:after="450" w:line="312" w:lineRule="auto"/>
      </w:pPr>
      <w:r>
        <w:rPr>
          <w:rFonts w:ascii="宋体" w:hAnsi="宋体" w:eastAsia="宋体" w:cs="宋体"/>
          <w:color w:val="000"/>
          <w:sz w:val="28"/>
          <w:szCs w:val="28"/>
        </w:rPr>
        <w:t xml:space="preserve">债券投资 195,419 6,553 3.35 180,609 5,272 2.92</w:t>
      </w:r>
    </w:p>
    <w:p>
      <w:pPr>
        <w:ind w:left="0" w:right="0" w:firstLine="560"/>
        <w:spacing w:before="450" w:after="450" w:line="312" w:lineRule="auto"/>
      </w:pPr>
      <w:r>
        <w:rPr>
          <w:rFonts w:ascii="宋体" w:hAnsi="宋体" w:eastAsia="宋体" w:cs="宋体"/>
          <w:color w:val="000"/>
          <w:sz w:val="28"/>
          <w:szCs w:val="28"/>
        </w:rPr>
        <w:t xml:space="preserve">存放中央银行 289,304 4,261 1.47 202,409 2,912 1.44</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w:t>
      </w:r>
    </w:p>
    <w:p>
      <w:pPr>
        <w:ind w:left="0" w:right="0" w:firstLine="560"/>
        <w:spacing w:before="450" w:after="450" w:line="312" w:lineRule="auto"/>
      </w:pPr>
      <w:r>
        <w:rPr>
          <w:rFonts w:ascii="宋体" w:hAnsi="宋体" w:eastAsia="宋体" w:cs="宋体"/>
          <w:color w:val="000"/>
          <w:sz w:val="28"/>
          <w:szCs w:val="28"/>
        </w:rPr>
        <w:t xml:space="preserve">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w:t>
      </w:r>
    </w:p>
    <w:p>
      <w:pPr>
        <w:ind w:left="0" w:right="0" w:firstLine="560"/>
        <w:spacing w:before="450" w:after="450" w:line="312" w:lineRule="auto"/>
      </w:pPr>
      <w:r>
        <w:rPr>
          <w:rFonts w:ascii="宋体" w:hAnsi="宋体" w:eastAsia="宋体" w:cs="宋体"/>
          <w:color w:val="000"/>
          <w:sz w:val="28"/>
          <w:szCs w:val="28"/>
        </w:rPr>
        <w:t xml:space="preserve">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w:t>
      </w:r>
    </w:p>
    <w:p>
      <w:pPr>
        <w:ind w:left="0" w:right="0" w:firstLine="560"/>
        <w:spacing w:before="450" w:after="450" w:line="312" w:lineRule="auto"/>
      </w:pPr>
      <w:r>
        <w:rPr>
          <w:rFonts w:ascii="宋体" w:hAnsi="宋体" w:eastAsia="宋体" w:cs="宋体"/>
          <w:color w:val="000"/>
          <w:sz w:val="28"/>
          <w:szCs w:val="28"/>
        </w:rPr>
        <w:t xml:space="preserve">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w:t>
      </w:r>
    </w:p>
    <w:p>
      <w:pPr>
        <w:ind w:left="0" w:right="0" w:firstLine="560"/>
        <w:spacing w:before="450" w:after="450" w:line="312" w:lineRule="auto"/>
      </w:pPr>
      <w:r>
        <w:rPr>
          <w:rFonts w:ascii="宋体" w:hAnsi="宋体" w:eastAsia="宋体" w:cs="宋体"/>
          <w:color w:val="000"/>
          <w:sz w:val="28"/>
          <w:szCs w:val="28"/>
        </w:rPr>
        <w:t xml:space="preserve">工原料，学名甲醛次硫酸氢钠）等等。</w:t>
      </w:r>
    </w:p>
    <w:p>
      <w:pPr>
        <w:ind w:left="0" w:right="0" w:firstLine="560"/>
        <w:spacing w:before="450" w:after="450" w:line="312" w:lineRule="auto"/>
      </w:pPr>
      <w:r>
        <w:rPr>
          <w:rFonts w:ascii="宋体" w:hAnsi="宋体" w:eastAsia="宋体" w:cs="宋体"/>
          <w:color w:val="000"/>
          <w:sz w:val="28"/>
          <w:szCs w:val="28"/>
        </w:rPr>
        <w:t xml:space="preserve">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w:t>
      </w:r>
    </w:p>
    <w:p>
      <w:pPr>
        <w:ind w:left="0" w:right="0" w:firstLine="560"/>
        <w:spacing w:before="450" w:after="450" w:line="312" w:lineRule="auto"/>
      </w:pPr>
      <w:r>
        <w:rPr>
          <w:rFonts w:ascii="宋体" w:hAnsi="宋体" w:eastAsia="宋体" w:cs="宋体"/>
          <w:color w:val="000"/>
          <w:sz w:val="28"/>
          <w:szCs w:val="28"/>
        </w:rPr>
        <w:t xml:space="preserve">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w:t>
      </w:r>
    </w:p>
    <w:p>
      <w:pPr>
        <w:ind w:left="0" w:right="0" w:firstLine="560"/>
        <w:spacing w:before="450" w:after="450" w:line="312" w:lineRule="auto"/>
      </w:pPr>
      <w:r>
        <w:rPr>
          <w:rFonts w:ascii="宋体" w:hAnsi="宋体" w:eastAsia="宋体" w:cs="宋体"/>
          <w:color w:val="000"/>
          <w:sz w:val="28"/>
          <w:szCs w:val="28"/>
        </w:rPr>
        <w:t xml:space="preserve">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第四篇：经营概况</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东方航空股份有限公司的经营范围为：国内国际、地区航空客、货、邮、行李运输业务及延伸服务；通用航空业务；航空设备制造与维修;国内外航空公司的代理业务。辖山东、安徽、江西、山西、河北、宁波、甘肃、北京八个分公司，控股中国货运航空有限公司和中国东方航空江苏有限公司，中国东方航空四川有限公司，参股中国东方航空武汉有限责任公司。</w:t>
      </w:r>
    </w:p>
    <w:p>
      <w:pPr>
        <w:ind w:left="0" w:right="0" w:firstLine="560"/>
        <w:spacing w:before="450" w:after="450" w:line="312" w:lineRule="auto"/>
      </w:pPr>
      <w:r>
        <w:rPr>
          <w:rFonts w:ascii="宋体" w:hAnsi="宋体" w:eastAsia="宋体" w:cs="宋体"/>
          <w:color w:val="000"/>
          <w:sz w:val="28"/>
          <w:szCs w:val="28"/>
        </w:rPr>
        <w:t xml:space="preserve">东航在航空运输主营业务方面，实施“中枢网络运营”战略，建立以上海为中心、依托长江三角洲地区、连接全球市场、客货并重的航空运输网络。航线除了包括国内航线外，也经营从上海等地至国际各大城市的国际航线。拥有贯通中国东西部，连接亚洲、欧洲、澳洲和美洲的航线网络。构建“统一运营管理模式”，建立起与世界水平接近的飞行安全技术、空中和地面服务、机务维修、市场营销、运行控制等支柱性业务体系。东航机队主要的机型包括了空中客车A300、A320、A330、A340、波音737、波音767、MD-90和CRJ-200、ERJ-145等。截至2024年拥有各型飞机200多架。通航城市100多个。</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东航一直以“满意服务高于一切”的企业精神致力于为旅客提供更好的服务。曾三次荣获中国民用航空总局颁发的飞行安全最高奖“金鹏杯”。2024年东航运输服务系统通过了ISO9002质量保证体系的认证。中国东方航空股份有限公司自成立以来创造过全国民航服务质量评比“五连冠”纪录。获得美国优质服务协会在世界范围内颁发的“五星钻石奖”。</w:t>
      </w:r>
    </w:p>
    <w:p>
      <w:pPr>
        <w:ind w:left="0" w:right="0" w:firstLine="560"/>
        <w:spacing w:before="450" w:after="450" w:line="312" w:lineRule="auto"/>
      </w:pPr>
      <w:r>
        <w:rPr>
          <w:rFonts w:ascii="宋体" w:hAnsi="宋体" w:eastAsia="宋体" w:cs="宋体"/>
          <w:color w:val="000"/>
          <w:sz w:val="28"/>
          <w:szCs w:val="28"/>
        </w:rPr>
        <w:t xml:space="preserve">2024年3月14日中国东方航空股份有限公司成为2024年上海世博会首家合作伙伴（航空客运）。作为中国2024年上海世博会首家全球合作伙伴及唯一航空客运承运人，东航紧紧围绕上海世博会“城市，让生活更美好！”的主题，提出“东航，让旅行更精彩！”的世博口号，凭借优质的服务品牌、庞大的航线网络、先进的客货机队，用高品质的安全飞行、高效率的运行保障、高品味的运输服务为各国来宾架起“世博快线”。</w:t>
      </w:r>
    </w:p>
    <w:p>
      <w:pPr>
        <w:ind w:left="0" w:right="0" w:firstLine="560"/>
        <w:spacing w:before="450" w:after="450" w:line="312" w:lineRule="auto"/>
      </w:pPr>
      <w:r>
        <w:rPr>
          <w:rFonts w:ascii="宋体" w:hAnsi="宋体" w:eastAsia="宋体" w:cs="宋体"/>
          <w:color w:val="000"/>
          <w:sz w:val="28"/>
          <w:szCs w:val="28"/>
        </w:rPr>
        <w:t xml:space="preserve">一、主要财务数据分析</w:t>
      </w:r>
    </w:p>
    <w:p>
      <w:pPr>
        <w:ind w:left="0" w:right="0" w:firstLine="560"/>
        <w:spacing w:before="450" w:after="450" w:line="312" w:lineRule="auto"/>
      </w:pPr>
      <w:r>
        <w:rPr>
          <w:rFonts w:ascii="宋体" w:hAnsi="宋体" w:eastAsia="宋体" w:cs="宋体"/>
          <w:color w:val="000"/>
          <w:sz w:val="28"/>
          <w:szCs w:val="28"/>
        </w:rPr>
        <w:t xml:space="preserve">主要财务数据是企业报告的重要组成部分，通过主要财务数据，报表使用者可以直观明了的得出企业本取得的营业收入总额、实现的净利润、资产总额和股东权益总额。</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第五篇：十九大报告总体概况</w:t>
      </w:r>
    </w:p>
    <w:p>
      <w:pPr>
        <w:ind w:left="0" w:right="0" w:firstLine="560"/>
        <w:spacing w:before="450" w:after="450" w:line="312" w:lineRule="auto"/>
      </w:pPr>
      <w:r>
        <w:rPr>
          <w:rFonts w:ascii="宋体" w:hAnsi="宋体" w:eastAsia="宋体" w:cs="宋体"/>
          <w:color w:val="000"/>
          <w:sz w:val="28"/>
          <w:szCs w:val="28"/>
        </w:rPr>
        <w:t xml:space="preserve">《决胜全面建成小康社会 夺取新时代中国特色</w:t>
      </w:r>
    </w:p>
    <w:p>
      <w:pPr>
        <w:ind w:left="0" w:right="0" w:firstLine="560"/>
        <w:spacing w:before="450" w:after="450" w:line="312" w:lineRule="auto"/>
      </w:pPr>
      <w:r>
        <w:rPr>
          <w:rFonts w:ascii="宋体" w:hAnsi="宋体" w:eastAsia="宋体" w:cs="宋体"/>
          <w:color w:val="000"/>
          <w:sz w:val="28"/>
          <w:szCs w:val="28"/>
        </w:rPr>
        <w:t xml:space="preserve">社会主义伟大胜利》</w:t>
      </w:r>
    </w:p>
    <w:p>
      <w:pPr>
        <w:ind w:left="0" w:right="0" w:firstLine="560"/>
        <w:spacing w:before="450" w:after="450" w:line="312" w:lineRule="auto"/>
      </w:pPr>
      <w:r>
        <w:rPr>
          <w:rFonts w:ascii="宋体" w:hAnsi="宋体" w:eastAsia="宋体" w:cs="宋体"/>
          <w:color w:val="000"/>
          <w:sz w:val="28"/>
          <w:szCs w:val="28"/>
        </w:rPr>
        <w:t xml:space="preserve">总体概括</w:t>
      </w:r>
    </w:p>
    <w:p>
      <w:pPr>
        <w:ind w:left="0" w:right="0" w:firstLine="560"/>
        <w:spacing w:before="450" w:after="450" w:line="312" w:lineRule="auto"/>
      </w:pPr>
      <w:r>
        <w:rPr>
          <w:rFonts w:ascii="宋体" w:hAnsi="宋体" w:eastAsia="宋体" w:cs="宋体"/>
          <w:color w:val="000"/>
          <w:sz w:val="28"/>
          <w:szCs w:val="28"/>
        </w:rPr>
        <w:t xml:space="preserve">习近平同志在中国共产党第十九次全国代表大会上代表十八届中央委员会作的题为《决胜全面建成小康社会 夺取新时代中国特色社会主义伟大胜利》的报告。报告约32000字，共分十三个部分：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十、坚持走中国特色强军之路，全面推进国防和军队现代化；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十一、坚持“一国两制”，推进祖国统一；</w:t>
      </w:r>
    </w:p>
    <w:p>
      <w:pPr>
        <w:ind w:left="0" w:right="0" w:firstLine="560"/>
        <w:spacing w:before="450" w:after="450" w:line="312" w:lineRule="auto"/>
      </w:pPr>
      <w:r>
        <w:rPr>
          <w:rFonts w:ascii="宋体" w:hAnsi="宋体" w:eastAsia="宋体" w:cs="宋体"/>
          <w:color w:val="000"/>
          <w:sz w:val="28"/>
          <w:szCs w:val="28"/>
        </w:rPr>
        <w:t xml:space="preserve">十二、坚持和平发展道路，推动构建人类命运共同体；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十三、坚定不移全面从严治党，不断提高党的执政能力和领导水平。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2025-05-03T09:29:37+08:00</dcterms:created>
  <dcterms:modified xsi:type="dcterms:W3CDTF">2025-05-03T09:29:37+08:00</dcterms:modified>
</cp:coreProperties>
</file>

<file path=docProps/custom.xml><?xml version="1.0" encoding="utf-8"?>
<Properties xmlns="http://schemas.openxmlformats.org/officeDocument/2006/custom-properties" xmlns:vt="http://schemas.openxmlformats.org/officeDocument/2006/docPropsVTypes"/>
</file>