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市委书记在2024年市委工作会议上的讲话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委工作会议上的讲话在市委工作会议上的讲话ＸＸＸ(2024年7月25日)同志们：这次市委工作会议，是在全市上下学习贯彻胡锦涛总书记在庆祝建党85周年大会上的重要讲话精神，进一步巩固和发展保持共产党员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85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ＸＸ、和谐ＸＸ、魅力ＸＸ”的新步伐。市委、市政府对这次会议非常重视，会前班子各成员根据分工开展了调查研究，市委常委会进行了专题讨论。刚才，7县（区）和5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６月底，全市地区生产总值完成51.9亿元，同比增长11.6%；规模以上工业增加值完成15.6亿元，增长5%；大口径财政收入完成7.04亿元，增长14.7%；地方财政收入完成2.9亿元，增长11.7%。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66:34。新植果树经济林18.81万亩，套袋10.7亿只，同比分别增长47.6%和28.9%，优果率达到55%；牛饲养量达到70.8万头，畜禽良种率达到60%，“ＸＸ金果”、“ＸＸ红牛”品牌优势进一步凸显，西开牧业、旭康食品、百兴制革等龙头企业发展势头强劲。全市农民人均现金收入达到1028元，同比增长24.9％。整个农村呈现出兴产业、抓增收、快致富的良好局面。工业经济在克服困难中平稳增长。积极应对煤电销售不畅的市场形势，采取多种措施扩产促销，完成工业增加值21.3亿元，同比增长6.6％，完成销售收入26.5亿元，增长3 %，规模以上地方工业产销率达到86.8%，实现利税5.6亿元，增长10.4％。旅游商贸在加快发展中提质增效。坚持基础建设与宣传推介齐抓、市场扩容与服务提质同步，加大旅游资源开发力度，冠名开通了崆峒旅游号专列，加强与毗邻九市旅游合作，旅游接待人数和综合收入分别以14.2%和12%的速度增长。全社会消费品零售总额增长13.1%，外贸销售增长20.9%。各项改革在攻坚破难中纵深推进。认真解决职工身份置换、债务化解等难点问题，完成了33户企业改革改制方案审批，23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21.2%，比上年提高2.3个百分点，静宁一中达到50.7%，泾川一中取得新的突破。市财政安排600万元支持农村卫生事业发展，34所乡镇卫生院建设进展较快。计划生育工作水平不断提高，人口出生率控制在8.0‰以内，农村计生率81.0%。科技、文化、体育、广播电视等事业取得了新的成效。维稳工作在解决热点难点问题中得到加强。认真落实就业再就业和“两个确保”政策，新增就业人数6678人，下岗失业人员实现再就业2357人，发放救灾救济款580万元，发放低保金1897万元,人均补差增加11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154个，“三清五改”示范村56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50万元以上各类项目569项，概算总投资179.4亿元，累计完成投资58.7亿元，到位资金56.1亿元,同比分别增长16.6%和20.6％。全社会固定资产投资完成33.5亿元，增速达47.9%，拉动经济增长4.1个百分点。特别是列入“十一五”规划的十大过10亿元工程中，已有3个开工建设，其它项目前期步伐加快，西平铁路完成预可研审查及线型和站点初测，天平铁路建设列入省上预备项目，ＸＸ电厂二期完成可研审查，崇信电厂一期工程已通过国家环保总局评审，750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ＸＸ城区“五大工程”建设进展顺利，滨河风情大道、柳湖公园东扩等重点工程年底建成，6县县城改扩建竞相发展，18个重点小城镇建设稳步推进，全市城镇化建设完成投资9.07亿元,同比增长58.92%。省上在我市召开了村镇建设现场会。四是“五大创建”富有成效，提升了ＸＸ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ＸＸ金果”知名度进一步提高，出口创汇实现了新突破。在兰州成功举办了“ＸＸ金果”新闻发布会，注册果品出口基地5.87万亩，签定果品出口订单7500吨，建立并拓宽了直接出口渠道。六是劳务经济迅速壮大，成为农民增收致富的重要支柱。输出劳务37.3万人（次），同比增长30.6%，其中有组织输出增长3.2倍，劳务收入占到农民人均现金收入的40%。七是节会效应明显，进一步提高了对外开放水平。积极组团参加“西洽会”、“津洽会”、“乡洽会”等全国性经贸节会，成功举办“华煤杯”第七届全国机器人足球锦标赛暨崆峒文化旅游节，加大项目推介和招商引资力度，实施招商引资项目86项，到位资金6.3亿元；新签约招商引资项目30项，引进资金13.69亿元。八是建立院地企银四方合作共建机制和市内中小企业联手发展机制，为加快发展搭建了新的平台。与清华、中科院等16个院所签订了合作协议，达成意向科技合作项目25项，加强与国家开发银行及华能、中水、香港金晖等大集团的联系合作，拓宽了发展路子。九是新型农村合作医疗试点扩大，更多群众直接受益。泾川、灵台、华亭、静宁4县新型农村合作医疗试点项目进展良好，平均参合率达86.7％，共筹集资金2350万元，为59515名参合农民报销医药费818.8万元，人均138元，被群众称为德政工程。十是先进性教育富有成效，得到了群众的好评。扎实认真地开展了第三批先进性教育活动。经民主测评，我市先进性教育群众满意度达到99.93%。启动千名干部赴发达地区培训计划，已培训干部400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ＸＸ发展，确立了以建设小康ＸＸ、和谐ＸＸ、魅力ＸＸ为目标，紧紧抓住三大机遇，重点实施十大过10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10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年各项工作。总体要求是：以科学发展观为统领，紧扣年初确定的任务目标，坚持发展抓项目、改革抓企业、保证抓党建的根本要求，进一步突出重点，再鼓干劲，[1]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一年来，XX全市上下深入学习贯彻习近平总书记考察XX重要讲话精神，全面落实中央和省委决策部署，坚决扛起新发展阶段历史使命，坚持争先创优进位，综合实力迈上新台阶，产业升级取得新突破，改革创新开辟新境界，双向开放呈现新格局，城乡融合展现新风貌，共同富裕迈出新步伐，平安XX得到新巩固，交出了经济社会发展靓丽成绩单，实现了“十四五”良好开局。</w:t>
      </w:r>
    </w:p>
    <w:p>
      <w:pPr>
        <w:ind w:left="0" w:right="0" w:firstLine="560"/>
        <w:spacing w:before="450" w:after="450" w:line="312" w:lineRule="auto"/>
      </w:pPr>
      <w:r>
        <w:rPr>
          <w:rFonts w:ascii="宋体" w:hAnsi="宋体" w:eastAsia="宋体" w:cs="宋体"/>
          <w:color w:val="000"/>
          <w:sz w:val="28"/>
          <w:szCs w:val="28"/>
        </w:rPr>
        <w:t xml:space="preserve">2024年，XX将以习近平新时代中国特色社会主义思想为指导，深入贯彻党的十九大、十九届历次全会精神和中央经济工作会议、省委经济工作会议部署，弘扬伟大建党精神，忠实践行“八八战略”、奋力打造“重要窗口”，紧扣稳中求进工作总基调，完整准确全面贯彻新发展理念，服务构建新发展格局，着力推进高质量发展，统筹发展和安全，坚持稳进提质、系统推进、变革重塑、守牢底线，营造平稳健康的经济环境、国泰民安的社会环境、风清气正的政治环境，奋力开创现代化滨海大都市建设新局面，全面展现共同富裕示范先行的美好愿景，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一、扩大投资要强势突破</w:t>
      </w:r>
    </w:p>
    <w:p>
      <w:pPr>
        <w:ind w:left="0" w:right="0" w:firstLine="560"/>
        <w:spacing w:before="450" w:after="450" w:line="312" w:lineRule="auto"/>
      </w:pPr>
      <w:r>
        <w:rPr>
          <w:rFonts w:ascii="宋体" w:hAnsi="宋体" w:eastAsia="宋体" w:cs="宋体"/>
          <w:color w:val="000"/>
          <w:sz w:val="28"/>
          <w:szCs w:val="28"/>
        </w:rPr>
        <w:t xml:space="preserve">要围绕重大战略实施、发展动能转换和民生供给短板，加快扩大有效投资，凝聚“大抓投资、抓大投资”的工作合力。一要在优化投资结构上下功夫。工业投资要“引领稳健”，关键是招引大项目。基础设施投资要“全面提速”，特别是在城市更新、交通、水利、能源、新基建等重点领域发力。房地产投资要“优化结构”，积极调整房地产的供给结构，促进房地产市场良性循环和健康发展。公共服务投资要“加快提升”，聚焦教育、卫生、文化领域的短板弱项，进一步夯实共同富裕物质基础。二要在加快项目进度上下功夫。对在建项目，要加大投资、加快进度、加大强度、优化工期。对新开工项目，要提前提早开工，全面加快工程进度。对后期项目，要加快前期工作的进度，统筹抓好地勘、谋划、审批等工作。三要在精准配置要素上下功夫。资金方面，要扩大投融资渠道，全力争取专项债券，善于把项目资金来源资本金化、资源资产化、资产证券化。能耗方面，要全面执行用能强度管理，合力平衡“十四五”用能周期总量。土地方面，要用好全域国土空间综合整治试点政策，迭代“三区三线”划定成果，实施政策整合、空间重构、系统重塑。四要在优化项目推进机制上下功夫。要组织实施好优结构扩投资攻坚行动，分层分级建立综合协调机制，构建土地、能耗、排放市级统筹机制，推动重大项目提前开工、建设提速、建成达产。</w:t>
      </w:r>
    </w:p>
    <w:p>
      <w:pPr>
        <w:ind w:left="0" w:right="0" w:firstLine="560"/>
        <w:spacing w:before="450" w:after="450" w:line="312" w:lineRule="auto"/>
      </w:pPr>
      <w:r>
        <w:rPr>
          <w:rFonts w:ascii="宋体" w:hAnsi="宋体" w:eastAsia="宋体" w:cs="宋体"/>
          <w:color w:val="000"/>
          <w:sz w:val="28"/>
          <w:szCs w:val="28"/>
        </w:rPr>
        <w:t xml:space="preserve">二、先进制造要提质扩量</w:t>
      </w:r>
    </w:p>
    <w:p>
      <w:pPr>
        <w:ind w:left="0" w:right="0" w:firstLine="560"/>
        <w:spacing w:before="450" w:after="450" w:line="312" w:lineRule="auto"/>
      </w:pPr>
      <w:r>
        <w:rPr>
          <w:rFonts w:ascii="宋体" w:hAnsi="宋体" w:eastAsia="宋体" w:cs="宋体"/>
          <w:color w:val="000"/>
          <w:sz w:val="28"/>
          <w:szCs w:val="28"/>
        </w:rPr>
        <w:t xml:space="preserve">要统筹传统优势产业改造提升、战略性新兴产业培育发展，筑牢XX经济的基本盘、压舱石。一是产业平台要强。要扭住“3＋17”重大产业平台，加快系统性重构、创新性变革，打造成为强制造的主阵地。要深化“亩均论英雄”改革，实施低效工业区块动态滚动改造。二是企业梯队要强。对“大优强”企业，打造一批具有辨识度的工业企业地标。对“专精特新”企业，要完善单项冠军、“小巨人”企业、高新技术企业精准服务培育机制。三是产业基础要强。中央经济工作会议明确要启动一批产业基础再造工程项目，我们要抓住这个机遇，加快培育一批产业链龙头企业，建设一批“强补延”项目，实施一批重点技术攻关，打造国家产业基础高级化标杆城市。四是新兴产业要强。要聚焦重点领域，做大做强电子信息、关键基础件、生物医药等战略性新兴产业。对区块链、第三代半导体、空天信息、柔性电子、量子信息等未来产业要做好前瞻性布局，建设一批未来产业先导区。要推动新一代信息技术和先进制造融合发展，实施规上企业数字化改造三年全覆盖行动。五是生产性服务业要强。对生产性服务业这个弱项，各级各部门要拿出一批务实举措，大力培育工业设计、科技服务等高端专业服务业，特别是要加大研发总部、研发机构培育引进力度，推动律师事务所、会计师事务所、人力资源猎头公司等机构集聚发展。</w:t>
      </w:r>
    </w:p>
    <w:p>
      <w:pPr>
        <w:ind w:left="0" w:right="0" w:firstLine="560"/>
        <w:spacing w:before="450" w:after="450" w:line="312" w:lineRule="auto"/>
      </w:pPr>
      <w:r>
        <w:rPr>
          <w:rFonts w:ascii="宋体" w:hAnsi="宋体" w:eastAsia="宋体" w:cs="宋体"/>
          <w:color w:val="000"/>
          <w:sz w:val="28"/>
          <w:szCs w:val="28"/>
        </w:rPr>
        <w:t xml:space="preserve">三、双向开放要畅通循环</w:t>
      </w:r>
    </w:p>
    <w:p>
      <w:pPr>
        <w:ind w:left="0" w:right="0" w:firstLine="560"/>
        <w:spacing w:before="450" w:after="450" w:line="312" w:lineRule="auto"/>
      </w:pPr>
      <w:r>
        <w:rPr>
          <w:rFonts w:ascii="宋体" w:hAnsi="宋体" w:eastAsia="宋体" w:cs="宋体"/>
          <w:color w:val="000"/>
          <w:sz w:val="28"/>
          <w:szCs w:val="28"/>
        </w:rPr>
        <w:t xml:space="preserve">要发挥港口硬核力量，以“两区”建设为引领，推动更大范围、更宽领域、更深层次的双向开放，建设链接两个市场、统筹两种资源的重要枢纽。一要进一步锻造港口硬核力量。加快建设大宗商品集疏运骨干通道，做强数字综合服务、登记结算、储运交割功能，提升油气、粮食等战略物资配置能力，打造国内初级产品保障的重要节点。要对标“四个一流”，调整优化港区布局，统筹抓好港航服务业，提升港口核心竞争力。二是进一步放大“两区”引领功能。要高水平办好第三届中东欧博览会，争创中国—中东欧国家贸易便利化试验区。要加快自贸区制度创新，对标国际经贸规则，在投资便利化、贸易自由化、油气全产业链、人民币结算等领域，形成一批全国首创、牵引全局的制度性改革成果。三是进一步推动外贸稳进提质。要健全以订单为导向的生产与贸易一体化模式，进一步打通生产端和贸易端，形成从订单到交付的全流程闭环。要大力发展数字贸易、跨境贸易、服务贸易等新业态新模式新主体，加快建设新型贸易基础设施。四是进一步加大招商引资力度。要建立招商引资项目清单，创新招商引资模式，继续做好甬商回归工作，大力推进以商引商、资本招商、科技招商和云上招商。加强全市招商统筹，构建产业布局引领、招商力量联动、招商政策统筹、项目流转共享的大招商格局。五是进一步拓展区域合作成果。唱好杭甬“双城记”，深度参与长三角一体化发展，推进XX都市区建设，把东西部协作、对口支援、对口合作、山海协作做深做细做实做优。</w:t>
      </w:r>
    </w:p>
    <w:p>
      <w:pPr>
        <w:ind w:left="0" w:right="0" w:firstLine="560"/>
        <w:spacing w:before="450" w:after="450" w:line="312" w:lineRule="auto"/>
      </w:pPr>
      <w:r>
        <w:rPr>
          <w:rFonts w:ascii="宋体" w:hAnsi="宋体" w:eastAsia="宋体" w:cs="宋体"/>
          <w:color w:val="000"/>
          <w:sz w:val="28"/>
          <w:szCs w:val="28"/>
        </w:rPr>
        <w:t xml:space="preserve">四、社会消费要挖足潜力</w:t>
      </w:r>
    </w:p>
    <w:p>
      <w:pPr>
        <w:ind w:left="0" w:right="0" w:firstLine="560"/>
        <w:spacing w:before="450" w:after="450" w:line="312" w:lineRule="auto"/>
      </w:pPr>
      <w:r>
        <w:rPr>
          <w:rFonts w:ascii="宋体" w:hAnsi="宋体" w:eastAsia="宋体" w:cs="宋体"/>
          <w:color w:val="000"/>
          <w:sz w:val="28"/>
          <w:szCs w:val="28"/>
        </w:rPr>
        <w:t xml:space="preserve">要坚持长短结合、综合施策，积极创建国际消费中心城市。一要加快城镇化，做大消费底盘。着重抓好两件事：第一件事，加大城中村、城边村、镇边村改造力度。这次镇海疫情反映出这项工作较为迫切。第二件事，进一步优化城市空间布局。要以开展全域国土空间整治为牵引，推进行政区功能化发展，促进各个组团功能互补、片区联动，全面构建城镇、村庄、农田的有机融合空间，形成都市乡村、田园城市的发展格局。需要强调的是，城镇化过程中要统筹安排好消费基础设施建设，提升重要商圈与地铁、城市公交的接驳频次，优化社区商业网点布局和流通网络。二要扩大高品质供给，激发消费需求。对健康消费、银发经济，要突出体验，积极引进健康体检、康养保健等高端健康产品和健康服务企业。对文旅消费、时尚消费，要突出特色，结合海洋文化、阳明文化、运河文化等主题，推出一批精品线路和文旅产品。对进口消费，要突出规模，扩大优质消费品进口，建好具有全国影响力的进口消费品集散中心、配送中心和交易中心。对网络消费，要突出直播，建设一批直播电商集聚区，扩大优质本地产品直播营销，促进直播业务本地结算。三要强化政策配套，优化消费环境。要探索设立消费促进专项资金，面向文旅、餐饮等领域发放一批消费券，撬动更多居民消费。要强化消费者权益保护，完善消费品源头管理、质量监督、投诉反馈机制，让消费更安全、更放心。要把服务消费纳入统计监测，更好把握XX消费态势。</w:t>
      </w:r>
    </w:p>
    <w:p>
      <w:pPr>
        <w:ind w:left="0" w:right="0" w:firstLine="560"/>
        <w:spacing w:before="450" w:after="450" w:line="312" w:lineRule="auto"/>
      </w:pPr>
      <w:r>
        <w:rPr>
          <w:rFonts w:ascii="宋体" w:hAnsi="宋体" w:eastAsia="宋体" w:cs="宋体"/>
          <w:color w:val="000"/>
          <w:sz w:val="28"/>
          <w:szCs w:val="28"/>
        </w:rPr>
        <w:t xml:space="preserve">五、激活主体要精准施策</w:t>
      </w:r>
    </w:p>
    <w:p>
      <w:pPr>
        <w:ind w:left="0" w:right="0" w:firstLine="560"/>
        <w:spacing w:before="450" w:after="450" w:line="312" w:lineRule="auto"/>
      </w:pPr>
      <w:r>
        <w:rPr>
          <w:rFonts w:ascii="宋体" w:hAnsi="宋体" w:eastAsia="宋体" w:cs="宋体"/>
          <w:color w:val="000"/>
          <w:sz w:val="28"/>
          <w:szCs w:val="28"/>
        </w:rPr>
        <w:t xml:space="preserve">要坚持有效市场和有为政府相结合，积极培育和精准服务一体推进，推动市场主体活力竞相迸发。一要做大主体总量。要围绕市场主体总量进一步突破的目标，首先要加大“双创”扶持力度，有针对性地出台专项支持政策，营造更好的创业创新生态。要办好全国双创周XX分会场等系列活动，引导更多力量参与孵化器、众创空间建设。其次要推动行政服务再提速，抓好“宽准入”“易退出”两大端口，优化企业开办“一件事”，实现简易注销“零见面”。要坚持“企业落户”和“数据落地”两手抓，既要把主体引进来，也要把税收、经济数据留下来。二要提升主体质量。市场主体发展阶段不同，支持措施也要“量身定制”。“个转企”，要加强挖掘引导，完善综合服务体系，引导个体工商户加快升级。“小升规”，要注重系统帮扶，深入实施小微企业三年成长计划，建立健全诉求联动响应机制。“股上市”，要大力推进“凤凰行动”升级工程。“创品牌”，要加强政策辅导、典型示范、氛围营造，大力推进“质优XX”建设。三要强化助企惠企。要落实好中央新的减税降费政策，通过减税让利降费，把市场主体坚决保下来。要用好当前财政较快增长的有利窗口，抓紧兑现前期许诺的各项惠企政策，把亲企、爱企、暖企、重企的形象坚决树起来。深入实施“融资畅通工程”，精准滴灌小微、民营、制造业等重点领域。</w:t>
      </w:r>
    </w:p>
    <w:p>
      <w:pPr>
        <w:ind w:left="0" w:right="0" w:firstLine="560"/>
        <w:spacing w:before="450" w:after="450" w:line="312" w:lineRule="auto"/>
      </w:pPr>
      <w:r>
        <w:rPr>
          <w:rFonts w:ascii="宋体" w:hAnsi="宋体" w:eastAsia="宋体" w:cs="宋体"/>
          <w:color w:val="000"/>
          <w:sz w:val="28"/>
          <w:szCs w:val="28"/>
        </w:rPr>
        <w:t xml:space="preserve">六、科技创新要培优补短</w:t>
      </w:r>
    </w:p>
    <w:p>
      <w:pPr>
        <w:ind w:left="0" w:right="0" w:firstLine="560"/>
        <w:spacing w:before="450" w:after="450" w:line="312" w:lineRule="auto"/>
      </w:pPr>
      <w:r>
        <w:rPr>
          <w:rFonts w:ascii="宋体" w:hAnsi="宋体" w:eastAsia="宋体" w:cs="宋体"/>
          <w:color w:val="000"/>
          <w:sz w:val="28"/>
          <w:szCs w:val="28"/>
        </w:rPr>
        <w:t xml:space="preserve">坚持“四个面向”战略方向，走好“任务带动、资源集成、体制创新”的迭代升级之路，以创新主动赢得发展主动。一要加快甬江两岸科创区建设。抓创新，首先就要抓好平台建设。要对照国家自主创新示范区的标准，对照XX创新发动机的要求，加快推进甬江两岸科创区规划建设和重大项目落地。要实施研发总部甬江集聚计划，制定专项鼓励支持政策，吸引在外研发机构回甬共享发展机遇。要用好甬江人才工程一揽子政策，把甬江两岸科创区建设成为人才密集高地。二要提高科技投入产出效益。要建立健全财政科技资金稳定增长机制，发挥财政资金杠杆作用。要发挥企业在创新投入中的主体作用，综合运用所得税优惠、加计扣除政策，引导企业加大研发投入。万人高价值发明专利拥有量、高新技术产业增加值占规上工业比重要实现新突破。三要推动科技产业金融良性循环。要聚焦重点产业领域，建好一批产学研协同的创新联合体，实现数量翻番。强化创新成果推广应用，推动整机企业与关键基础零部件、元器件、材料企业协同创新，推进“三首”产品首试首用。扩大科创基金规模，建立容忍度高、决策流程快的运行机制，自创区科技成果转化基金、天使投资引导基金规模要上新台阶。</w:t>
      </w:r>
    </w:p>
    <w:p>
      <w:pPr>
        <w:ind w:left="0" w:right="0" w:firstLine="560"/>
        <w:spacing w:before="450" w:after="450" w:line="312" w:lineRule="auto"/>
      </w:pPr>
      <w:r>
        <w:rPr>
          <w:rFonts w:ascii="宋体" w:hAnsi="宋体" w:eastAsia="宋体" w:cs="宋体"/>
          <w:color w:val="000"/>
          <w:sz w:val="28"/>
          <w:szCs w:val="28"/>
        </w:rPr>
        <w:t xml:space="preserve">七、营商环境要争创一流</w:t>
      </w:r>
    </w:p>
    <w:p>
      <w:pPr>
        <w:ind w:left="0" w:right="0" w:firstLine="560"/>
        <w:spacing w:before="450" w:after="450" w:line="312" w:lineRule="auto"/>
      </w:pPr>
      <w:r>
        <w:rPr>
          <w:rFonts w:ascii="宋体" w:hAnsi="宋体" w:eastAsia="宋体" w:cs="宋体"/>
          <w:color w:val="000"/>
          <w:sz w:val="28"/>
          <w:szCs w:val="28"/>
        </w:rPr>
        <w:t xml:space="preserve">要全面对标国家营商环境创新试点改革事项，以数字化改革为牵引，加快打造国际一流营商环境。一是深化数字化改革。要迭代升级一体化智能化公共数据平台，推动“152”与“141”两大体系衔接贯通，形成一批整体智治特色应用场景，实现问题发现解决闭环的数字化管理。优化企业全生命周期服务，推进多跨协同、流程再造和机制重塑，不断迭代升级“甬易办”“企报通”等惠企减负应用。二是提升市场化水平。要最大限度放宽市场准入条件，动态调整市场准入负面清单，探索建立市场准入效能评估制度。全力争取要素市场化配置改革国家试点，聚焦土地、劳动力、资本、技术、数据五大要素，做好赋权清单的对接争取，力争取得一批引领全国的改革成果。三是注重法治化监管。要加强重点领域、新兴领域立法，在社会信用、公共数据、专利管理等领域，制定地方性法规规章。对市场主体全生命周期监管，既要突出重点领域，在消防安全、食品药品、环境保护等方面，建立事前事中事后全流程监管机制，又要改进监管方式，探索开展柔性监管，实现本地区“双随机”事项全覆盖。四是提高国际化程度。要整合涉外服务事项，完善涉外服务专窗，扩大涉企政策、办事项目、基础设施双语服务覆盖面。精准对接外籍人士便利化需求，建立完善常态化服务机制。提升国际化人才出入境便利度，争取为外籍人才在口岸入境、在华居留、来甬创新创业提供更好服务。</w:t>
      </w:r>
    </w:p>
    <w:p>
      <w:pPr>
        <w:ind w:left="0" w:right="0" w:firstLine="560"/>
        <w:spacing w:before="450" w:after="450" w:line="312" w:lineRule="auto"/>
      </w:pPr>
      <w:r>
        <w:rPr>
          <w:rFonts w:ascii="宋体" w:hAnsi="宋体" w:eastAsia="宋体" w:cs="宋体"/>
          <w:color w:val="000"/>
          <w:sz w:val="28"/>
          <w:szCs w:val="28"/>
        </w:rPr>
        <w:t xml:space="preserve">八、“大美XX”要先行示范</w:t>
      </w:r>
    </w:p>
    <w:p>
      <w:pPr>
        <w:ind w:left="0" w:right="0" w:firstLine="560"/>
        <w:spacing w:before="450" w:after="450" w:line="312" w:lineRule="auto"/>
      </w:pPr>
      <w:r>
        <w:rPr>
          <w:rFonts w:ascii="宋体" w:hAnsi="宋体" w:eastAsia="宋体" w:cs="宋体"/>
          <w:color w:val="000"/>
          <w:sz w:val="28"/>
          <w:szCs w:val="28"/>
        </w:rPr>
        <w:t xml:space="preserve">要深入践行“绿水青山就是金山银山”理念，加快形成绿色生产生活方式，奋力打造人与自然和谐共生的“大美XX”，加快建设美丽中国先行示范区。一要深入实施“双碳”行动。围绕2024年前碳达峰总目标，统筹“经济增长、能源安全、碳排放、居民生活”四个维度，全面实施碳达峰碳中和十大行动，抓好美丽光伏等十大标志性工程。坚持用能有保有压，坚决遏制“两高”项目盲目发展，实现新旧能源更替、能源保供等多重目标动态平衡。构建碳账户体系，对于已经获得排污许可证的企业，要做到碳账户全覆盖。建设低碳、零碳示范体系，重点抓好省级试点创建。二要打好污染防治攻坚战。以“无废城市”创建为引领，精准、科学和依法治污。要加快建设全域“清新空气示范区”，实施剿灭劣Ⅴ类水巩固、污水零直排区建设2.0、美丽海湾建设三大工程。完善全环节、全链条、全覆盖治废工作机制，建成全域省级“无废城市”。三要加强生态保护修复。编制实施国土空间生态修复专项规划、湿地修复工程规划，抓好四明山、翠屏山、象山港、大运河沿线生态保护修复，把梅山蓝色海湾工程打造成为全国海洋生态修复的样板。落实省新增百万亩国土绿化和千万亩森林质量提升行动，确保森林覆盖率稳定。强化生物多样性保护，完成慈溪、象山、杭州湾全域生物多样性本底调查，抓好全国生态环境教育基地建设。</w:t>
      </w:r>
    </w:p>
    <w:p>
      <w:pPr>
        <w:ind w:left="0" w:right="0" w:firstLine="560"/>
        <w:spacing w:before="450" w:after="450" w:line="312" w:lineRule="auto"/>
      </w:pPr>
      <w:r>
        <w:rPr>
          <w:rFonts w:ascii="宋体" w:hAnsi="宋体" w:eastAsia="宋体" w:cs="宋体"/>
          <w:color w:val="000"/>
          <w:sz w:val="28"/>
          <w:szCs w:val="28"/>
        </w:rPr>
        <w:t xml:space="preserve">九、共同富裕要更有温度</w:t>
      </w:r>
    </w:p>
    <w:p>
      <w:pPr>
        <w:ind w:left="0" w:right="0" w:firstLine="560"/>
        <w:spacing w:before="450" w:after="450" w:line="312" w:lineRule="auto"/>
      </w:pPr>
      <w:r>
        <w:rPr>
          <w:rFonts w:ascii="宋体" w:hAnsi="宋体" w:eastAsia="宋体" w:cs="宋体"/>
          <w:color w:val="000"/>
          <w:sz w:val="28"/>
          <w:szCs w:val="28"/>
        </w:rPr>
        <w:t xml:space="preserve">要扎实推动共同富裕，擦亮七张“X里甬有”幸福民生品牌，让人民群众获得感成色更足、幸福感更可持续、安全感更有保障。一是加快缩小“三大”差距。要制定实施“扩中、提低”改革方案，大力开展居民收入和中等收入群体双倍增行动。深入实施南部地区崛起和四明山振兴计划，开展南翼地区、山区、海岛基础设施补短板行动。实施共同富裕乡村建设行动，加快完善“两进两回”政策体系，深化探索宅基地“三权分置”、集体经营性建设用地入市、农民“带权进城”。二是促进公共服务优质供给。要扎实推进“双减”政策落地落实，加快义务教育共同体建设。大力实施“医学高峰”计划，抓好各级医联体、医共体建设。完善生育保险制度等配套政策，打造生育友好型城市。健全以居家养老为主体的多样化养老体系，实现示范型居家养老服务中心全覆盖。三是推进社会保障普惠共享。要打造“甬上乐业”2.0版，做好高校毕业生、农民工、就业困难人员就业，健全灵活就业人员权益保障机制。落实基本养老保险全国统筹，推动社保扩面提质。分层分类开展社会救助，切实保障困难群众基本生活。以公共租赁住房为主体，健全新型住房保障体系。四是打造新时代文化高地。以迎接党的二十大为主题，精心策划实施一批社会主义核心价值观宣传教育活动。常态化开展全国文明典范城市创建，唱响“在XX，看见文明中国”的品牌影响力。统筹抓好城乡公共文化服务，高水平建设非物质文化遗产馆等文化新地标，全面提升XX城市文化辨识度。</w:t>
      </w:r>
    </w:p>
    <w:p>
      <w:pPr>
        <w:ind w:left="0" w:right="0" w:firstLine="560"/>
        <w:spacing w:before="450" w:after="450" w:line="312" w:lineRule="auto"/>
      </w:pPr>
      <w:r>
        <w:rPr>
          <w:rFonts w:ascii="宋体" w:hAnsi="宋体" w:eastAsia="宋体" w:cs="宋体"/>
          <w:color w:val="000"/>
          <w:sz w:val="28"/>
          <w:szCs w:val="28"/>
        </w:rPr>
        <w:t xml:space="preserve">十、风险防控要万无一失</w:t>
      </w:r>
    </w:p>
    <w:p>
      <w:pPr>
        <w:ind w:left="0" w:right="0" w:firstLine="560"/>
        <w:spacing w:before="450" w:after="450" w:line="312" w:lineRule="auto"/>
      </w:pPr>
      <w:r>
        <w:rPr>
          <w:rFonts w:ascii="宋体" w:hAnsi="宋体" w:eastAsia="宋体" w:cs="宋体"/>
          <w:color w:val="000"/>
          <w:sz w:val="28"/>
          <w:szCs w:val="28"/>
        </w:rPr>
        <w:t xml:space="preserve">必须强化底线思维，做到见微知著、防患未然。一要压紧压实常态化疫情防控。要坚决克服麻痹思想、厌战情绪、侥幸心理，全面落实常态化疫情防控措施。要健全应急处置机制，完善应急处置预案。要依托精密智控平台，落实“6小时”指挥决策、“三责”联动、“三区”管控、“五快”循环、“三情”协同机制，做到疫情及时发现、及早报告、精准管控、有效救治。二要防范化解经济领域风险。要促进房地产业健康发展，执行好房地产金融政策，保持房地产信贷平稳有序投放。要精准预防化解企业过度质押、资金链断裂等经营风险，保持对非法集资、恶意逃废债等违法行为高压态势，维护地方金融秩序。要压实压紧粮食稳产保供责任，稳妥推进耕地“非农化”“非粮化”整治，深入实施种业强市五年行动计划，守好“米袋子”、护好“菜篮子”。三要切实维护社会和谐稳定。要强化安全生产责任制，加强安全生产常态化监管，健全应急响应机制，提升应急处置能力，坚决杜绝重特大安全事故发生。完善基层治理“四平台”，用情用心做好信访工作，妥善解决群众合理诉求。</w:t>
      </w:r>
    </w:p>
    <w:p>
      <w:pPr>
        <w:ind w:left="0" w:right="0" w:firstLine="560"/>
        <w:spacing w:before="450" w:after="450" w:line="312" w:lineRule="auto"/>
      </w:pPr>
      <w:r>
        <w:rPr>
          <w:rFonts w:ascii="宋体" w:hAnsi="宋体" w:eastAsia="宋体" w:cs="宋体"/>
          <w:color w:val="000"/>
          <w:sz w:val="28"/>
          <w:szCs w:val="28"/>
        </w:rPr>
        <w:t xml:space="preserve">实现高质量发展，关键在于党的领导。各级党委要把领导经济工作的责任放在心上、抓在手上、落实到行动上，激励全市上下众志成城完成各项目标任务。一要健全党领导经济工作体制机制。发挥好市委深改委、财经委等议事协调机构的作用，完善“条抓块统”体制机制，健全集中财力办大事财政政策体系，更好保障全市高质量发展。二要锤炼各级干部克难攻坚本领。各级领导班子和领导干部要牢固树立正确的政绩观，做到公正用权、谨慎用权、依法用权。要认真学习经济、科技、历史等新知识，把调查研究作为常抓常新的基本功，提高抓经济工作的专业能力和水平。三要提升全市上下一贯到底执行力。中央有决策、省委有部署、市委有要求，各级各部门就要闻风而动、雷厉风行，迅速进入战斗状态，做到召之即来、来之能战、战之必胜，确保抓一件成一件、干一桩成一桩。四要强化争先创优进位绩效考评。要优化调整绩效考核指标，增强考评针对性和引领性。要完善进位制、联动式、数字化、即时性考评方式，建好绩效考评大数据平台。要推进考评结果与领导班子、领导干部考核结果互认互用，作为领导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2025-06-19T09:32:47+08:00</dcterms:created>
  <dcterms:modified xsi:type="dcterms:W3CDTF">2025-06-19T09:32:47+08:00</dcterms:modified>
</cp:coreProperties>
</file>

<file path=docProps/custom.xml><?xml version="1.0" encoding="utf-8"?>
<Properties xmlns="http://schemas.openxmlformats.org/officeDocument/2006/custom-properties" xmlns:vt="http://schemas.openxmlformats.org/officeDocument/2006/docPropsVTypes"/>
</file>