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最高人民法院关于审理民事级别管辖异议案件若干问题的规定</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审理民事级别管辖异议案件若干问题的规定【法规标题】最高人民法院关于审理民事级别管辖异议案件若干问题的规定【颁布单位】最高人民法院【发文字号】法释〔2024〕17号【颁布时间】2024-11-12最高人民法院关于审理...</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第四篇：最高人民法院关于审理民事级别管辖异议案件若干问题的规定[最终版]</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