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在经济形势分析会议上的讲话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形势分析会议上的讲话这次市政府全体（扩大）会议，主要是总结回顾上半年工作，分析我市当前经济形势，动员全市上下抢抓机遇，再接再厉，扎扎实实地做好下半年的工作，全面完成今年的各项任务。下面，我根据省政府全体（扩大）会议精神和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