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人大宣传工作的做法与体会5篇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第一篇：人大宣传工作的做法与体会人大宣传工作的做法与体会与时俱进 开拓创新努力搞好人大宣传工作近年来，xx县人大常委会始终把加强人大宣传工作作为创新人大工作的先导，充分发挥广播、电视、报刊、网络等媒体优势，坚持“在创新上求突破、在务实上求...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