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合同法最新解释三</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最新解释三合同法第五十二条有下列情形之一的，合同无效：（一）一方以欺诈、胁迫的手段订立合同，损害国家利益；（二）恶意串通，损害国家、集体或者第三人利益；（三）以合法形式掩盖非法目的；（四）损害社会公共利益；（五）违反法律、行...</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