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2024年1-5月山西省临汾市经济运行情况[模版]</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临汾市经济运行情况[模版]2024年1-5月山西省临汾市经济运行情况今年以来，面对全球经济持续低迷、国内经济增长放缓等复杂多变的外部环境，临汾市着力推进“止缓、回稳、促增”，在面临较大困难的情况下，全市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