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市政府2024年工作报告与2024年工作计划（五篇）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市政府2024年工作报告与2024年工作计划一、2024年全市工作回顾2024年，是我市发展史上很不平凡的一年。一年来，全市上下紧紧依靠市委的正确领导和科学决策，紧紧依靠市人大、市政协的鼎力支持和有效监督，紧紧依靠全市人民，负重奋...</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三次会议确定的各项任务。预计完成地区生产总值230亿元，同比增长31.9％。新增固定资产投资160亿元，同比增长98.2%。一般预算全口径财政收入和地方级财政收入分别完成8.5亿元和5.32亿元，同比分别增长30%。社会消费品零售总额可达82.66亿元，同比增长30%。城镇居民人均可支配收入和农民人均纯收入分别可达12790元和5950元，同比分别增长12%和15％。在2024年度全省县域突破工作中，我市由2024年的第十一位跃升到第五位，进入强县行列。</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受金融危机的影响，我市以汽车零部件、农产品加工为主导产业的工业经济，年初在艰难中起步。在应对危机的发展过程中，以玛钢、华翔、安宝、吉通电缆、黄龙、中粮等为代表的骨干企业在国家相关产业振兴规划和企业挖潜改造、技术创新、结构调整、节能减排、股权合作、退城进区等一系列有效措施的强势拉动下，先后走出低谷，实现了逆势上扬和在化危为机中发展。以吉林众品、众信汽车内饰材料、鑫美橡塑制品为代表的43户成长型企业，通过中小企业培育工程，步入了规模以上企业行列，从而使我市规模以上企业发展到114户，增长60.5%，为工业经济逆势上扬提供了后劲和支撑。项目建设势头强劲，招商引资成效明显。唐传生物科技、国能生物发电、恒久产业园、宏泰铸造、中石化天然气压缩母站、华商汽车物流等526个大小新项目和光大纸业、滕泰机械、祥裕食品等企业26个技改项目相继开工、竣工和投产，由此实现了骨干企业带动成长型企业进档升级、新项目纷纷落地、产业集群发展的良性互动，创造了在大危机中实现大发展的佳绩。预计规模以上工业总产值可实现150亿元，同比增长41.3%；利润3亿元，同比增长38.5％；工业增加值47亿元，同比增长38.7％。</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在扎实推进增产10亿斤粮食能力建设进程中，土地开发整理和复垦力度不断加大，新增耕地面积80万亩，加之普遍采取了测土配方施肥、推广了保护性耕作技术、实施了机械化作业、创建粮食高产示范田等举措，虽然遭遇了严重旱灾，粮食产量仍可达到50亿斤，粮食单产全国第一，总产全国第二。林业工作突出“三查两清一确权”和“双打”活动，取得明显成效，全年造林2289公顷，美化绿化村屯170个。水利部门新打抗旱井992眼，完成水土流失治理22500亩，二十家子水库、勾家店水库等5项除险加固工程全部竣工，被国家确定为水利工作重点县。农机工作以全程机械化示范为重点，主要农作物综合农机化水平提高到57.3%。气象工作积极主动，在风电资源测试、人工增雨方面发挥了重要作用。“两区一地”建设势头强劲，新建棚膜2560栋，牧业小区233个。朝阳坡农业科技示范园按照“国内一流，世界领先”的建设标准，克服重重困难，取得重大进展。农村公路建设步伐加快，新修村屯公路516公里，村村通率达93.4%。</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新建、改建岭西三路、西公主大街、南环城街等8条街路、10.7公里。改造人行步道和泥泞路32.5万平方米。站前广场、解放路广场、河南广场、文化广场改造如期竣工，响铃公园改造稳步推进。新增城区绿地34公顷。新装和更新路灯1309级杆，迎宾路、河南大街、公主大街以及市区5个广场实施了景观亮化，54家临街单位楼体安装了夜景灯饰。改造排水管线6000米，完成9条街路2万米的供水管网安装，ic卡水表分户改造完成37400户。清水绿带工程扎实推进，铺装污水截流干管14.3公里，市区污水收集率达到75%。加强供热管理，果断收回弃供和达不到要求的供热站点28个，接管供热面积45万平方米。投资6000万元新建大型供热站一处，集中供热改造工程基本结束。推进城市规范化管理，建立了全天候保洁长效机制，市容市貌明显改观。</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年初确定的十四个方面66项民生工程全面得到落实。5个棚户区改造相继开工，新建廉租房24000平方米，3358户居民喜迁新居；发放住房补贴1200万元，惠及7969户最低收入家庭；改造旧有小区80个，市区原有黑楼道全部亮化。泥草房改造完成2024户；新建农村自来水工程110处，解决了47900人饮水安全问题。城镇新增就业7218人，农民转移就业</w:t>
      </w:r>
    </w:p>
    <w:p>
      <w:pPr>
        <w:ind w:left="0" w:right="0" w:firstLine="560"/>
        <w:spacing w:before="450" w:after="450" w:line="312" w:lineRule="auto"/>
      </w:pPr>
      <w:r>
        <w:rPr>
          <w:rFonts w:ascii="宋体" w:hAnsi="宋体" w:eastAsia="宋体" w:cs="宋体"/>
          <w:color w:val="000"/>
          <w:sz w:val="28"/>
          <w:szCs w:val="28"/>
        </w:rPr>
        <w:t xml:space="preserve">26.5万人。城市低保增加5000人，人均补助标准由每月130元提高到195元。行政事业单位职工津贴补贴有所增加，住房公积金政策得到落实。为农村基层组织负责人办理了养老保险，将离职老居委会主任的退养费纳入了财政预算。街道办公条件得到改善。新建环卫工人之家，环卫工人工资待遇再次提高。科技工作成效明显，通过了国家科技富民强县项目验收。</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一般预算全口径财政收入要完成11亿元，同比增长29.4%；市本级财政收入要完成6.9亿元，同比增长30%。城镇居民可支配收入要达到14708元，同比增长15%;农村人均收入要达到6842元，同比增长15%。固定资产投资要达到240亿元，同比增长50%。</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加大力度实施企业退城进区。坚持眼睛向内，挖掘内部潜力，实施退城进区，是现阶段项目聚集的有效途径。公政发2024年1号、2号文件继续执行，力促已经做好前期准备的中大、远达、东晟电机等10户重点企业尽早动工。</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全力抓好项目建设和科学招商。要把大多数项目向园区摆放，加快推进项目集中、资源集约、产业集群、功能集成，打造新的增长极。加快唐传、国能生物发电、八屋天然气压缩站、10万套中重卡车车桥等续建项目建设进度，确保年内竣工达产。风力发电项目争取上半年破土动工。围绕汽车零部件、玉米、食品加工、膨润土、天然气等重点产业以及“六大工程”，谋划一批产业链条长、科技含量高、成长性好的重大项目，纳入到省项目库盘子。全力抓好科学招商。要采取超常规手段、超常规办法、超常规措施，在责任机制、奖励机制、招商机制和优惠政策等方面实现重大突破。确保全年新开工规模以上项目200个，引进资金150亿元。</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继续抓好增产10亿斤粮食能力建设工程。加大农业科技投入，推广测土配方施肥，选用优良品种，采取先进保护性耕作技术，科学抗灾防灾，提高单产，增加总产。继续抓好“两区一地”建设。新建规模化棚膜园区20个，标准化畜牧小区100个。要加快现代牧业体系建设步伐，全力推进“千万头猪富民工程”。围绕农畜产品精深加工，大力扶持和引进龙头企业，带动产业升级。</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围绕关系群众切身利益的热点难点问题，2024年，要拆迁棚户区20万平方米；建设城市廉租住房5万平方米；完成所有旧有小区和全部泥泞路改造。市区新增公共绿地30公顷。改造农村泥草房2024户；新修农村公路300公里，“村村通”率实现100%；解决农村7万人饮水安全问题。改造中小学危房5万平方米；新型农村合作医疗实现应保尽保；完成农村居民数字电视改造5万户；高标准建设一座全民健身馆。新增城市低保5000人；把农村基层组织负责人以外的优秀村屯干部逐步纳入养老保险；逐步提高行政事业单位职工的津贴补贴标准；逐步提高社区干部待遇；逐步解决科技人员职称工资兑现问题。</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三次</w:t>
      </w:r>
    </w:p>
    <w:p>
      <w:pPr>
        <w:ind w:left="0" w:right="0" w:firstLine="560"/>
        <w:spacing w:before="450" w:after="450" w:line="312" w:lineRule="auto"/>
      </w:pPr>
      <w:r>
        <w:rPr>
          <w:rFonts w:ascii="宋体" w:hAnsi="宋体" w:eastAsia="宋体" w:cs="宋体"/>
          <w:color w:val="000"/>
          <w:sz w:val="28"/>
          <w:szCs w:val="28"/>
        </w:rPr>
        <w:t xml:space="preserve">会议确定的各项任务。预计完成地区生产总值230亿元，同比增长31.9％。新增固定资产投资160亿元，同比增长98.2%。一般预算全口径财政收入和地方级财政收入分别完成8.5亿元和5.32亿元，同比分别增长30%。社会消费品零售总额可达82.66亿元，同比增长30%。城镇居民人均可支配收入和农民人均纯收入分别可达12790元和5950元，同比分别增长12%和15％。在2024全省县域突破工作中，我市由2024年的第十一位跃升到第五位，进入强县行列。</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受金融危机的影响，我市以汽车零部件、农产品加工为主导产业的工业经济，年初在艰难中起步。在应对危机的发展过程中，以玛钢、华翔、安宝、吉通电缆、黄龙、中粮等为代表的骨干企业在国家相关产业振兴规划和企业挖潜改造、技术创新、结构调整、节能减排、股权合作、退城进区等一系列有效措施的强势拉动下，先后走出低谷，实现了逆势上扬和在化危为机中发展。以吉林众品、众信汽车内饰材料、鑫美橡塑制品为代表的43户成长型企业，通过中小企业培育工程，步入了规模以上企业行列，从而使我市规模以上企业发展到114户，增长60.5%，为工业经济逆势上扬提供了后劲和支撑。项目建设势头强劲，招商引资成效明显。唐传生物科技、国能生物发电、恒久产业园、宏泰铸造、中石化天然气压缩母站、华商汽车物流等526个大小新项目和光大纸业、滕泰机械、祥裕食品等企业26个技改项目相继开工、竣工和投产，由此实现了骨干企业带动成长型企业进档升级、新项目纷纷落地、产业集群发展的良性互动，创造了在大危机中实现大发展的佳绩。预计规模以上工业总产值可实现150亿元，同比增长41.3%；利润3亿元，同比增长38.5％；工业增加值47亿元，同比增长38.7％。</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在扎实推进增产10亿斤粮食能力建设进程中，土地开发整理和复垦力度不断加大，新增耕地面积80万亩，加之普遍采取了测土配方施肥、推广了保护性耕作技术、实施了机械化作业、创建粮食高产示范田等举措，虽然遭遇了严重旱灾，粮食产量仍可达到50亿斤，粮食单产全国第一，总产全国第二。林业工作突出“三查两清一确权”和“双打”活动，取得明显成效，全年造林2289公顷，美化绿化村屯170个。水利部门新打抗旱井992眼，完成水土流失治理22500亩，二十家子水库、勾家店水库等5项除险加固工程全部竣工，被国家确定为水利工作重点县。农机工作以全程机械化示范为重点，主要农作物综合农机化水平提高到57.3%。气象工作积极主动，在风电资源测试、人工增雨方面发挥了重要作用。“两区一地”建设势头强劲，新建棚膜2560栋，牧业小区233个。朝阳坡农业科技示范园按照“国内一流，世界领先”的建设标准，克服重重困难，取得重大进展。农村公路建设步伐加快，新修村屯公路516公里，村村通率达93.4%。</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新建、改建岭西三路、西公主大街、南环城街等8条街路、10.7公里。改造人行步道和泥泞路32.5万平方米。站前广场、解放路广场、河南广场、文化广场改造如期竣工，响铃公园改造稳步推进。新增城区绿地34公顷。新装和更新路灯1309级杆，迎宾路、河南大街、公主大街以及市区5个广场实施了景观亮化，54家临街单位楼体安装了夜景灯饰。改造排水管线6000米，完成9条街路2万米的供水管网安装，ic卡水表分户改造完成37400户。清水绿带工程扎实推进，铺装污水截流干管14.3公里，市区污水收集率达到75%。加强供热管理，果断收回弃供和达不到要求的供热站点28个，接管供热面积45万平方米。投资6000万元新建大型供热站一处，集中供热改造工程基本结束。推进城市规范化管理，建立了全天候保洁长效机制，市容市貌明显改观。</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年初确定的十四个方面66项民生工程全面得到落实。5个棚户区改造相继开工，新建廉租房24000平方米，3358户居民喜迁新居；发放住房补贴1200万元，惠及7969户最低收入家庭；改造旧有小区80个，市区原有黑楼道全部亮化。泥草房改造完成2024户；新建农村自来水工程110处，解决了47900人饮水安全问题。城镇新增就业7218人，农民转移就业26.5万人。城市低保增加5000人，人均补助标准由</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2025-07-13T14:36:31+08:00</dcterms:created>
  <dcterms:modified xsi:type="dcterms:W3CDTF">2025-07-13T14:36:31+08:00</dcterms:modified>
</cp:coreProperties>
</file>

<file path=docProps/custom.xml><?xml version="1.0" encoding="utf-8"?>
<Properties xmlns="http://schemas.openxmlformats.org/officeDocument/2006/custom-properties" xmlns:vt="http://schemas.openxmlformats.org/officeDocument/2006/docPropsVTypes"/>
</file>