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产业集群发展工作意见</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工作意见各镇人民政府,开发（名胜）区管委会,区政府各部门：为全面贯彻落实科学发展观，着力调整经济结构和转变经济发展方式，培育有竞争力的产业，节约利用资源，加快新型工业化进程，促进区域经济又好又快发展，根据《省人民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