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UL认证名词解释</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第一篇：UL认证名词解释UL认证名词解释Accreditation 认证使一方或多方得以认证另一方执行特定活动能力的过程。寻求认证的单位必须符合特定规范的要求，同时通常需要经第三方之稽核以展现其符合这些要求。ISO/IEC 指南及标准便包...</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黑体" w:hAnsi="黑体" w:eastAsia="黑体" w:cs="黑体"/>
          <w:color w:val="000000"/>
          <w:sz w:val="36"/>
          <w:szCs w:val="36"/>
          <w:b w:val="1"/>
          <w:bCs w:val="1"/>
        </w:rPr>
        <w:t xml:space="preserve">第五篇：ul 认证介绍</w:t>
      </w:r>
    </w:p>
    <w:p>
      <w:pPr>
        <w:ind w:left="0" w:right="0" w:firstLine="560"/>
        <w:spacing w:before="450" w:after="450" w:line="312" w:lineRule="auto"/>
      </w:pPr>
      <w:r>
        <w:rPr>
          <w:rFonts w:ascii="宋体" w:hAnsi="宋体" w:eastAsia="宋体" w:cs="宋体"/>
          <w:color w:val="000"/>
          <w:sz w:val="28"/>
          <w:szCs w:val="28"/>
        </w:rPr>
        <w:t xml:space="preserve">UL认证介绍</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UL认证工厂审查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w:t>
      </w:r>
    </w:p>
    <w:p>
      <w:pPr>
        <w:ind w:left="0" w:right="0" w:firstLine="560"/>
        <w:spacing w:before="450" w:after="450" w:line="312" w:lineRule="auto"/>
      </w:pPr>
      <w:r>
        <w:rPr>
          <w:rFonts w:ascii="宋体" w:hAnsi="宋体" w:eastAsia="宋体" w:cs="宋体"/>
          <w:color w:val="000"/>
          <w:sz w:val="28"/>
          <w:szCs w:val="28"/>
        </w:rPr>
        <w:t xml:space="preserve">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ひ祷蛏桃瞪鲜褂玫牟贰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w:t>
      </w:r>
    </w:p>
    <w:p>
      <w:pPr>
        <w:ind w:left="0" w:right="0" w:firstLine="560"/>
        <w:spacing w:before="450" w:after="450" w:line="312" w:lineRule="auto"/>
      </w:pPr>
      <w:r>
        <w:rPr>
          <w:rFonts w:ascii="宋体" w:hAnsi="宋体" w:eastAsia="宋体" w:cs="宋体"/>
          <w:color w:val="000"/>
          <w:sz w:val="28"/>
          <w:szCs w:val="28"/>
        </w:rPr>
        <w:t xml:space="preserve">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产品资料：产品的资料应以英文提供。首先确定您的产品是否属于UL检测的范围，可向UL设在广州和上海的办事处咨询。</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w:t>
      </w:r>
    </w:p>
    <w:p>
      <w:pPr>
        <w:ind w:left="0" w:right="0" w:firstLine="560"/>
        <w:spacing w:before="450" w:after="450" w:line="312" w:lineRule="auto"/>
      </w:pPr>
      <w:r>
        <w:rPr>
          <w:rFonts w:ascii="宋体" w:hAnsi="宋体" w:eastAsia="宋体" w:cs="宋体"/>
          <w:color w:val="000"/>
          <w:sz w:val="28"/>
          <w:szCs w:val="28"/>
        </w:rPr>
        <w:t xml:space="preserve">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跟踪服务的费用不包括在测试费用中，UL会就跟踪检查服务另寄给您一张发票。</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w:t>
      </w:r>
    </w:p>
    <w:p>
      <w:pPr>
        <w:ind w:left="0" w:right="0" w:firstLine="560"/>
        <w:spacing w:before="450" w:after="450" w:line="312" w:lineRule="auto"/>
      </w:pPr>
      <w:r>
        <w:rPr>
          <w:rFonts w:ascii="宋体" w:hAnsi="宋体" w:eastAsia="宋体" w:cs="宋体"/>
          <w:color w:val="000"/>
          <w:sz w:val="28"/>
          <w:szCs w:val="28"/>
        </w:rPr>
        <w:t xml:space="preserve">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2025-06-16T19:32:40+08:00</dcterms:created>
  <dcterms:modified xsi:type="dcterms:W3CDTF">2025-06-16T19:32:40+08:00</dcterms:modified>
</cp:coreProperties>
</file>

<file path=docProps/custom.xml><?xml version="1.0" encoding="utf-8"?>
<Properties xmlns="http://schemas.openxmlformats.org/officeDocument/2006/custom-properties" xmlns:vt="http://schemas.openxmlformats.org/officeDocument/2006/docPropsVTypes"/>
</file>