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最新房产公司设计部工作总结(八篇)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设计部工作总结一之所以选择在二月二十五日，来顺利当一名实习设计师，全当是我小戴为实现自己对x哥的承诺，另外就是证明我是真的从来不轻易认输的。第二次去应聘，就是谈薪资的问题，我的专业上的第一个师傅跟我商量道“我跟老板商量好了”，给你出...</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房产公司设计部工作总结一</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房产公司设计部工作总结四</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房产公司设计部工作总结五</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房产公司设计部工作总结六</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房产公司设计部工作总结七</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房产公司设计部工作总结八</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