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2025年人保财险公司工作总结(3篇)</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人保财险xx分按照年初提出的“抓重点、破难点、出亮点”的思，围绕“促发展、保效益、防风险”的工作主基调和“创建四个一流、实现四个目标、做好十项工作”的要求，大力加强精细化，抢抓机遇，加快发展，扎实有效地推进各项工作，取...</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xx届五中全会精神，了解、掌握国家经济发展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 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