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2024年党支部查摆问题清单集合14篇</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查摆，即找出问题等不利因素的原因所在，及时修正。以下是小编整理的2024年党支部查摆问题清单集合14篇，欢迎阅读与收藏。2024年党支部查摆问题清单篇1　　在保持共产党员先进性教育活动中，XX二区班子成员认识明确，思想统一，行动自觉，全身心...</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查摆，即找出问题等不利因素的原因所在，及时修正。以下是小编整理的2024年党支部查摆问题清单集合14篇，欢迎阅读与收藏。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2024年党支部查摆问题清单篇9</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2024年党支部查摆问题清单篇10</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2024年党支部查摆问题清单篇12</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2024年党支部查摆问题清单篇13</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2024年党支部查摆问题清单篇14</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