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党员教师组织生活会个人对照检查材料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党员教师组织生活会个人对照检查材料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支部计划，紧紧围绕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1、学习上还不够。一是理论学习还不够系统，主动挤时间去学习不够积极。二是知识面不够广，自己舍不得花钱外出学习，导致现代化教学手段不熟，不能与时俱进。</w:t>
      </w:r>
    </w:p>
    <w:p>
      <w:pPr>
        <w:ind w:left="0" w:right="0" w:firstLine="560"/>
        <w:spacing w:before="450" w:after="450" w:line="312" w:lineRule="auto"/>
      </w:pPr>
      <w:r>
        <w:rPr>
          <w:rFonts w:ascii="宋体" w:hAnsi="宋体" w:eastAsia="宋体" w:cs="宋体"/>
          <w:color w:val="000"/>
          <w:sz w:val="28"/>
          <w:szCs w:val="28"/>
        </w:rPr>
        <w:t xml:space="preserve">　　2、开展批评与自我批评做得还不够。对有不良习惯的学生批评的多，对同事打不开情面，怕伤害同志间感情，不利于工作的顺利开展。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4、沟通不够。在平时工作中，我有时只顾自己工作，而不积极与同事进行交流沟通，认为自己只是一名普通教师，只要教好书、上好课、教育好学生，对得起学生和家长,努力完成学校领导交给的工作，就算是尽职尽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德艺双馨的好教师。</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2025-05-03T19:49:11+08:00</dcterms:created>
  <dcterms:modified xsi:type="dcterms:W3CDTF">2025-05-03T19:49:11+08:00</dcterms:modified>
</cp:coreProperties>
</file>

<file path=docProps/custom.xml><?xml version="1.0" encoding="utf-8"?>
<Properties xmlns="http://schemas.openxmlformats.org/officeDocument/2006/custom-properties" xmlns:vt="http://schemas.openxmlformats.org/officeDocument/2006/docPropsVTypes"/>
</file>