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政治站位不高的原因剖析6篇</w:t>
      </w:r>
      <w:bookmarkEnd w:id="1"/>
    </w:p>
    <w:p>
      <w:pPr>
        <w:jc w:val="center"/>
        <w:spacing w:before="0" w:after="450"/>
      </w:pPr>
      <w:r>
        <w:rPr>
          <w:rFonts w:ascii="Arial" w:hAnsi="Arial" w:eastAsia="Arial" w:cs="Arial"/>
          <w:color w:val="999999"/>
          <w:sz w:val="20"/>
          <w:szCs w:val="20"/>
        </w:rPr>
        <w:t xml:space="preserve">来源：网络  作者：梦中情人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原因，汉语词语，读音为yuányīn，一指原来因为，二指造成某种结果或者引发某种事情的条件。以下是小编收集整理的政治站位不高的原因剖析6篇，仅供参考，希望能够帮助到大家。　　　　一是深入学习上有差距。一直以来，自己虽然注重了政治和业务学习，...</w:t>
      </w:r>
    </w:p>
    <w:p>
      <w:pPr>
        <w:ind w:left="0" w:right="0" w:firstLine="560"/>
        <w:spacing w:before="450" w:after="450" w:line="312" w:lineRule="auto"/>
      </w:pPr>
      <w:r>
        <w:rPr>
          <w:rFonts w:ascii="宋体" w:hAnsi="宋体" w:eastAsia="宋体" w:cs="宋体"/>
          <w:color w:val="000"/>
          <w:sz w:val="28"/>
          <w:szCs w:val="28"/>
        </w:rPr>
        <w:t xml:space="preserve">原因，汉语词语，读音为yuányīn，一指原来因为，二指造成某种结果或者引发某种事情的条件。以下是小编收集整理的政治站位不高的原因剖析6篇，仅供参考，希望能够帮助到大家。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2025-05-02T04:35:16+08:00</dcterms:created>
  <dcterms:modified xsi:type="dcterms:W3CDTF">2025-05-02T04:35:16+08:00</dcterms:modified>
</cp:coreProperties>
</file>

<file path=docProps/custom.xml><?xml version="1.0" encoding="utf-8"?>
<Properties xmlns="http://schemas.openxmlformats.org/officeDocument/2006/custom-properties" xmlns:vt="http://schemas.openxmlformats.org/officeDocument/2006/docPropsVTypes"/>
</file>