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对照党章党规找差距剖析材料3篇</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以下是大家创业网分享的对照党章党规找差距剖析材料三篇，希望能帮助到大家![_TAG_h3]　　对照党章党规找差距剖析材料1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 3 个方面 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 XX 工作的重要论述批示指导实践上，思考得不深，研究得不透，在做好“上与下”结合文章上仍有欠缺。2、对党员的八项义务虽然知道但没有完全做到，在践行入党誓言上存在一定差距。比如，在党费的缴纳上不主动不自觉，存在等人催收、不能按月及时缴纳的问题。再如，有时把自己混同于普通群众，发挥党员的先锋模范作用不够。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5、以人民为中心的思想树立得还不牢固，为人民服务的宗旨意识较前有所淡化，坚持从群众中来、到群众中去的 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1、能够坚定“四个自信”，坚定马克思主义信仰和社会主义信念，但由于长期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 且过的认识。再如，对本单位发生的一些应该报告的问题，认为只要及时处置妥当就行，不愿意主动向上级报告，唯恐给人留下自己驾驭能力和领导能力不强的印象。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 XXXX 集中整治中，由于此项工作与本单位业务联系不紧密，因而在贯彻落实上不积极不主动。再如，在机构改革中，对上级机关明确予以撤销的组织机构，由于怕引起单位内部不稳定而进行了变通处理，未能做到不折不扣落实。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4、客观地讲，作为单位主要负责人，自己在抓工作上 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 党员，担任领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 4 篇，努力做到学思用贯通、知信行统一。二是把学习党章作为必修课、常修课，保证每天不少于 1 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 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对照党章党规找差距剖析材料2</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上级安排部署，我认真学习了《习近平新时代中国特色社会主义思想学习纲要》和关于“不忘初心、牢记使命”的重要论述，党的意识、党员意识、纪律意识进一步增强，政治境界、思想境界、道德境界进一步提升。主要有五个方面的初步认识和体会，概括来讲可以归纳为“五个必须”。</w:t>
      </w:r>
    </w:p>
    <w:p>
      <w:pPr>
        <w:ind w:left="0" w:right="0" w:firstLine="560"/>
        <w:spacing w:before="450" w:after="450" w:line="312" w:lineRule="auto"/>
      </w:pPr>
      <w:r>
        <w:rPr>
          <w:rFonts w:ascii="宋体" w:hAnsi="宋体" w:eastAsia="宋体" w:cs="宋体"/>
          <w:color w:val="000"/>
          <w:sz w:val="28"/>
          <w:szCs w:val="28"/>
        </w:rPr>
        <w:t xml:space="preserve">　　一、必须坚定立场不动摇坚定的政治立场是践行“不忘初心、牢记使命”的根本保障。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必须牢记宗旨不改变共产党人的初心是全心全意为劳苦大众谋利益的赤子之心。习近平总书记指出，一切向前走，都不能忘记走过的路;走得再远、走到再辉煌的未来，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必须保持作风不褪色作风问题关系人心向背，关乎事业发展，也是践行“不忘初心，牢记使命”的内在要求。以习近平同志为核心的党中央，深刻洞察党内存在的问题，以贯彻执行中央八项规定精神为切入口和动员令，部署开展党的群众路线教育实践活动、“三严三实”专题教育、“两学一做”学习教育、“不忘初心、牢记使命”主题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四、必须务实进取不懈怠习近平总书记在党的十九大报告中强调，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五、必须担当使命不松懈习近平总书记在县委书记研修班时指出，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汇聚起决胜全面建成小康社会的磅礴之力。不忘初心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对照党章党规找差距剖析材料3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又印发了《关于在“不忘初心、牢记使命”主题教育中对照党章党规找差距的工作方案》要求，按照××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 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从党性修养来看。缺乏一以贯之的“三观”改造，自我净化、自我完善、自我革新、自我提高的意识不强，对政治建设重视不够，未经常性用党章党规照照自己、用“三严三实”校准行为，反躬自省不够，精神之钙不足。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 友团”，净化“朋友圈”，管好分管部门，管好亲属和身边工作人员，营造廉洁勤政的良好环境。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2025-07-10T09:17:48+08:00</dcterms:created>
  <dcterms:modified xsi:type="dcterms:W3CDTF">2025-07-10T09:17:48+08:00</dcterms:modified>
</cp:coreProperties>
</file>

<file path=docProps/custom.xml><?xml version="1.0" encoding="utf-8"?>
<Properties xmlns="http://schemas.openxmlformats.org/officeDocument/2006/custom-properties" xmlns:vt="http://schemas.openxmlformats.org/officeDocument/2006/docPropsVTypes"/>
</file>