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主题教育党员个人剖析材料3篇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刻以《党章》从严要求自己，进一步规范自身行为，严格遵守并贯彻执行党规党纪，不断净化自己的思想、校正自己的行为，让纪律成为自律，养成遵规守纪的高度自觉。下面是大家创业网为大家整理的主题教育党员个人剖析材料3篇，供大家参考。　　主题教育党员个...</w:t>
      </w:r>
    </w:p>
    <w:p>
      <w:pPr>
        <w:ind w:left="0" w:right="0" w:firstLine="560"/>
        <w:spacing w:before="450" w:after="450" w:line="312" w:lineRule="auto"/>
      </w:pPr>
      <w:r>
        <w:rPr>
          <w:rFonts w:ascii="宋体" w:hAnsi="宋体" w:eastAsia="宋体" w:cs="宋体"/>
          <w:color w:val="000"/>
          <w:sz w:val="28"/>
          <w:szCs w:val="28"/>
        </w:rPr>
        <w:t xml:space="preserve">时刻以《党章》从严要求自己，进一步规范自身行为，严格遵守并贯彻执行党规党纪，不断净化自己的思想、校正自己的行为，让纪律成为自律，养成遵规守纪的高度自觉。下面是大家创业网为大家整理的主题教育党员个人剖析材料3篇，供大家参考。[_TAG_h3]　　主题教育党员个人剖析材料1</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　　主题教育党员个人剖析材料2</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主题教育党员个人剖析材料3</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一、会前学习情况</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三、当前存在的问题</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2025-07-17T06:14:38+08:00</dcterms:created>
  <dcterms:modified xsi:type="dcterms:W3CDTF">2025-07-17T06:14:38+08:00</dcterms:modified>
</cp:coreProperties>
</file>

<file path=docProps/custom.xml><?xml version="1.0" encoding="utf-8"?>
<Properties xmlns="http://schemas.openxmlformats.org/officeDocument/2006/custom-properties" xmlns:vt="http://schemas.openxmlformats.org/officeDocument/2006/docPropsVTypes"/>
</file>