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新时代党的治疆方略对照材料10篇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带头完整准确贯彻新时代党的治疆方略方面个人存在的问题按照《党委关于在“不忘初心、牢记使命”主题教育中对照党章党规找差距的工作方案》要求，我对照党章党规进行了深刻的反思，多角度地进行了自我检视。现对照检查如下。一、存在的问题(一)对照党章找差...</w:t>
      </w:r>
    </w:p>
    <w:p>
      <w:pPr>
        <w:ind w:left="0" w:right="0" w:firstLine="560"/>
        <w:spacing w:before="450" w:after="450" w:line="312" w:lineRule="auto"/>
      </w:pPr>
      <w:r>
        <w:rPr>
          <w:rFonts w:ascii="宋体" w:hAnsi="宋体" w:eastAsia="宋体" w:cs="宋体"/>
          <w:color w:val="000"/>
          <w:sz w:val="28"/>
          <w:szCs w:val="28"/>
        </w:rPr>
        <w:t xml:space="preserve">带头完整准确贯彻新时代党的治疆方略方面个人存在的问题按照《党委关于在“不忘初心、牢记使命”主题教育中对照党章党规找差距的工作方案》要求，我对照党章党规进行了深刻的反思，多角度地进行了自我检视。现对照检查如下。一、存在的问题(一)对照党章找差距方面1、是否坚持党的性质宗旨,贯彻党的基本理论、基本路线、基本方略,坚持四项基本原则,坚持新发展理念,坚持中国特色社会主义事业“五位一体”总体布局和“四个全面”战略布局方面。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2、是否认真履以下是小编收集整理的新时代党的治疆方略对照材料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第十篇: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州党委“不忘初心，牢记使命”主题教育领导小组关于对照党章准则条例和新时代治疆方略找差距的工作要求和局党组的统一安排，对照《党章》、《关于新形势下党内政治生活的若干准则》、《中国共产党纪律处分条例》、新时代党的治疆方略，围绕对党忠诚、党员意识、担当作为、服务群众、遵守纪律、作用发挥六个方面，将自身存在的问题、原因分析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 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2025-06-20T17:09:44+08:00</dcterms:created>
  <dcterms:modified xsi:type="dcterms:W3CDTF">2025-06-20T17:09:44+08:00</dcterms:modified>
</cp:coreProperties>
</file>

<file path=docProps/custom.xml><?xml version="1.0" encoding="utf-8"?>
<Properties xmlns="http://schemas.openxmlformats.org/officeDocument/2006/custom-properties" xmlns:vt="http://schemas.openxmlformats.org/officeDocument/2006/docPropsVTypes"/>
</file>