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以下是小编整理的关于“不准党员信仰宗教和参与宗教活动”主题组织生活对照检查材料【七篇】，仅供参考，大家一起来看看吧。第1篇: “不准党员信仰宗教和参与宗教活动”主题组织生活对照检查材料　　按照教育工委《关于召开不准共产党员信仰宗教和参与宗教...</w:t>
      </w:r>
    </w:p>
    <w:p>
      <w:pPr>
        <w:ind w:left="0" w:right="0" w:firstLine="560"/>
        <w:spacing w:before="450" w:after="450" w:line="312" w:lineRule="auto"/>
      </w:pPr>
      <w:r>
        <w:rPr>
          <w:rFonts w:ascii="宋体" w:hAnsi="宋体" w:eastAsia="宋体" w:cs="宋体"/>
          <w:color w:val="000"/>
          <w:sz w:val="28"/>
          <w:szCs w:val="28"/>
        </w:rPr>
        <w:t xml:space="preserve">以下是小编整理的关于“不准党员信仰宗教和参与宗教活动”主题组织生活对照检查材料【七篇】，仅供参考，大家一起来看看吧。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第2篇: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