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党员对照4个方面自我检视表13篇</w:t>
      </w:r>
      <w:bookmarkEnd w:id="1"/>
    </w:p>
    <w:p>
      <w:pPr>
        <w:jc w:val="center"/>
        <w:spacing w:before="0" w:after="450"/>
      </w:pPr>
      <w:r>
        <w:rPr>
          <w:rFonts w:ascii="Arial" w:hAnsi="Arial" w:eastAsia="Arial" w:cs="Arial"/>
          <w:color w:val="999999"/>
          <w:sz w:val="20"/>
          <w:szCs w:val="20"/>
        </w:rPr>
        <w:t xml:space="preserve">来源：网络  作者：倾听心灵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通过学习、对照，进行了深刻反思和自我剖析，重点查找了自己存在的问题和不足，并对存在问题的原因进行了深层次剖析。以下是为大家整理的党员对照四个方面自我检视表【13篇】,欢迎品鉴!【篇1】党员对照四个方面自我检视表　　1、在思想学风方面。对工作...</w:t>
      </w:r>
    </w:p>
    <w:p>
      <w:pPr>
        <w:ind w:left="0" w:right="0" w:firstLine="560"/>
        <w:spacing w:before="450" w:after="450" w:line="312" w:lineRule="auto"/>
      </w:pPr>
      <w:r>
        <w:rPr>
          <w:rFonts w:ascii="宋体" w:hAnsi="宋体" w:eastAsia="宋体" w:cs="宋体"/>
          <w:color w:val="000"/>
          <w:sz w:val="28"/>
          <w:szCs w:val="28"/>
        </w:rPr>
        <w:t xml:space="preserve">通过学习、对照，进行了深刻反思和自我剖析，重点查找了自己存在的问题和不足，并对存在问题的原因进行了深层次剖析。以下是为大家整理的党员对照四个方面自我检视表【13篇】,欢迎品鉴!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【篇3】党员对照四个方面自我检视表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【篇4】党员对照四个方面自我检视表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【篇5】党员对照四个方面自我检视表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【篇6】党员对照四个方面自我检视表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【篇7】党员对照四个方面自我检视表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【篇8】党员对照四个方面自我检视表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【篇9】党员对照四个方面自我检视表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【篇10】党员对照四个方面自我检视表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【篇11】党员对照四个方面自我检视表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【篇12】党员对照四个方面自我检视表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2025-05-01T07:20:04+08:00</dcterms:created>
  <dcterms:modified xsi:type="dcterms:W3CDTF">2025-05-01T07:20:04+08:00</dcterms:modified>
</cp:coreProperties>
</file>

<file path=docProps/custom.xml><?xml version="1.0" encoding="utf-8"?>
<Properties xmlns="http://schemas.openxmlformats.org/officeDocument/2006/custom-properties" xmlns:vt="http://schemas.openxmlformats.org/officeDocument/2006/docPropsVTypes"/>
</file>