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最新春节医院值班工作总结(5篇)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节医院值班工作总结一一、提前部署，明细要求。我院在春节前期召开专题会议对春节期间医院总体工作进行全面布署，要求各科室严格按照文件精神，科学合理安排值班，严格遵守医院各项规章制度，加强医疗质量管理，严防医疗事故的发生。认真落实值班制度，坚持...</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春节医院值班工作总结一</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春节医院值班工作总结二</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春节医院值班工作总结三</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春节医院值班工作总结四</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春节医院值班工作总结，希望大家喜欢!</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_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宋体" w:hAnsi="宋体" w:eastAsia="宋体" w:cs="宋体"/>
          <w:color w:val="000"/>
          <w:sz w:val="28"/>
          <w:szCs w:val="28"/>
        </w:rPr>
        <w:t xml:space="preserve">为做好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2025-07-08T00:19:09+08:00</dcterms:created>
  <dcterms:modified xsi:type="dcterms:W3CDTF">2025-07-08T00:19:09+08:00</dcterms:modified>
</cp:coreProperties>
</file>

<file path=docProps/custom.xml><?xml version="1.0" encoding="utf-8"?>
<Properties xmlns="http://schemas.openxmlformats.org/officeDocument/2006/custom-properties" xmlns:vt="http://schemas.openxmlformats.org/officeDocument/2006/docPropsVTypes"/>
</file>