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2024年医院设备科维修人员工作总结 医疗设备维修个人工作总结十二篇(模板)</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疗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医疗设备维修个人工作总结八</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医疗设备维修个人工作总结九</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医疗设备维修个人工作总结篇十一</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医疗设备维修个人工作总结篇十二</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