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社区党史学习总结九篇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,欢迎品鉴！【篇1】社区党史学习总结　　  在党史学习教育中，...</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【篇1】社区党史学习总结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【篇2】社区党史学习总结</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【篇5】社区党史学习总结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【篇6】社区党史学习总结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【篇7】社区党史学习总结</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　　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　　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　　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　　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黑体" w:hAnsi="黑体" w:eastAsia="黑体" w:cs="黑体"/>
          <w:color w:val="000000"/>
          <w:sz w:val="36"/>
          <w:szCs w:val="36"/>
          <w:b w:val="1"/>
          <w:bCs w:val="1"/>
        </w:rPr>
        <w:t xml:space="preserve">【篇8】社区党史学习总结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【篇9】社区党史学习总结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2025-07-10T09:38:11+08:00</dcterms:created>
  <dcterms:modified xsi:type="dcterms:W3CDTF">2025-07-10T09:38:11+08:00</dcterms:modified>
</cp:coreProperties>
</file>

<file path=docProps/custom.xml><?xml version="1.0" encoding="utf-8"?>
<Properties xmlns="http://schemas.openxmlformats.org/officeDocument/2006/custom-properties" xmlns:vt="http://schemas.openxmlformats.org/officeDocument/2006/docPropsVTypes"/>
</file>