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个人月工作总结100字(4篇)</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一一、从新定位、寻找自身优势，打造自身优势品牌在3月份开始，我们开始了新一学期的规划及长期规划，通过部长、班级委员会、学生会例会等，对过去的工作进行新的客观评价，进而对本学期的工作进行新的规划。根据各个部门的优势，学院...</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个人月工作总结100字一</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个人月工作总结100字三</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