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年度员工个人工作总结(5篇)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年度员工个人工作总结一一、思想认识方面报业服务处办公室的1大功能就是服务功能，我个人的职责是这1功能的最终体现者，主要任务是为服务处领导、各部门和员工做好服务工作，确保服务处各项工作正常开展。所以，20__年工作总的指导思想是“强化服务功能...</w:t>
      </w:r>
    </w:p>
    <w:p>
      <w:pPr>
        <w:ind w:left="0" w:right="0" w:firstLine="560"/>
        <w:spacing w:before="450" w:after="450" w:line="312" w:lineRule="auto"/>
      </w:pPr>
      <w:r>
        <w:rPr>
          <w:rFonts w:ascii="黑体" w:hAnsi="黑体" w:eastAsia="黑体" w:cs="黑体"/>
          <w:color w:val="000000"/>
          <w:sz w:val="36"/>
          <w:szCs w:val="36"/>
          <w:b w:val="1"/>
          <w:bCs w:val="1"/>
        </w:rPr>
        <w:t xml:space="preserve">年度员工个人工作总结一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年度员工个人工作总结二</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。它是以自身的实践活动为依据的，所列举的事例和数据都必须完全可靠，下面是小编为大家整理的年末员工个人工作总结模板，仅供参考，希望能帮助到大家!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关于员工月工作总结报告与计划范文20_&lt;/span[_TAG_h2]年度员工个人工作总结三</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年度员工个人工作总结四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年度员工个人工作总结五</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2025-07-08T00:34:53+08:00</dcterms:created>
  <dcterms:modified xsi:type="dcterms:W3CDTF">2025-07-08T00:34:53+08:00</dcterms:modified>
</cp:coreProperties>
</file>

<file path=docProps/custom.xml><?xml version="1.0" encoding="utf-8"?>
<Properties xmlns="http://schemas.openxmlformats.org/officeDocument/2006/custom-properties" xmlns:vt="http://schemas.openxmlformats.org/officeDocument/2006/docPropsVTypes"/>
</file>