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一、人事行政及管理工作1、员工考勤管理。主要是严格员工日常请休假制度，每月保证在规定时间内统计出考勤数据，做好考勤的日常管理工作，为公司管理提供准确数据。考勤管理也是公司核算员工报酬的一个重要依据，做好正常出勤、请休假...</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分享一些关于个人季度工作总结，供大家参考。</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三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