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职校教学工作总结个人(六篇)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个人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职校教学工作总结个人二</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职校教学工作总结个人四</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职校教学工作总结个人六</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