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门诊部个人工作总结(五篇)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门诊部个人工作总结一思想政治方面：自参加工作以来，我认真学习党中央的各类文件精神，切实贯彻党中央及国务院的方针政策，支持医院领导及科室主任工作，严于律己，自觉遵守各项制度，积极参加政治学习，要求进步，加强政治思想和品德修养。工作方面：在工作...</w:t>
      </w:r>
    </w:p>
    <w:p>
      <w:pPr>
        <w:ind w:left="0" w:right="0" w:firstLine="560"/>
        <w:spacing w:before="450" w:after="450" w:line="312" w:lineRule="auto"/>
      </w:pPr>
      <w:r>
        <w:rPr>
          <w:rFonts w:ascii="黑体" w:hAnsi="黑体" w:eastAsia="黑体" w:cs="黑体"/>
          <w:color w:val="000000"/>
          <w:sz w:val="36"/>
          <w:szCs w:val="36"/>
          <w:b w:val="1"/>
          <w:bCs w:val="1"/>
        </w:rPr>
        <w:t xml:space="preserve">门诊部个人工作总结一</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门诊部个人工作总结二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小编就和大家分享门诊人员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__年过去了，今后我将继续发扬优点，争取更大的进步。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本人在院工作近一年，后定在_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______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医生每月工作个人总结5篇&lt;/span[_TAG_h2]门诊部个人工作总结三</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门诊部个人工作总结四</w:t>
      </w:r>
    </w:p>
    <w:p>
      <w:pPr>
        <w:ind w:left="0" w:right="0" w:firstLine="560"/>
        <w:spacing w:before="450" w:after="450" w:line="312" w:lineRule="auto"/>
      </w:pPr>
      <w:r>
        <w:rPr>
          <w:rFonts w:ascii="宋体" w:hAnsi="宋体" w:eastAsia="宋体" w:cs="宋体"/>
          <w:color w:val="000"/>
          <w:sz w:val="28"/>
          <w:szCs w:val="28"/>
        </w:rPr>
        <w:t xml:space="preserve">本人在院工作近一年，后定在_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______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门诊部个人工作总结五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2025-05-02T14:46:58+08:00</dcterms:created>
  <dcterms:modified xsi:type="dcterms:W3CDTF">2025-05-02T14:46:58+08:00</dcterms:modified>
</cp:coreProperties>
</file>

<file path=docProps/custom.xml><?xml version="1.0" encoding="utf-8"?>
<Properties xmlns="http://schemas.openxmlformats.org/officeDocument/2006/custom-properties" xmlns:vt="http://schemas.openxmlformats.org/officeDocument/2006/docPropsVTypes"/>
</file>