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校长工作总结范文5篇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高中校长...</w:t>
      </w:r>
    </w:p>
    <w:p>
      <w:pPr>
        <w:ind w:left="0" w:right="0" w:firstLine="560"/>
        <w:spacing w:before="450" w:after="450" w:line="312" w:lineRule="auto"/>
      </w:pPr>
      <w:r>
        <w:rPr>
          <w:rFonts w:ascii="宋体" w:hAnsi="宋体" w:eastAsia="宋体" w:cs="宋体"/>
          <w:color w:val="000"/>
          <w:sz w:val="28"/>
          <w:szCs w:val="28"/>
        </w:rPr>
        <w:t xml:space="preserve">高中校长工作总结范文5篇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高中校长工作总结范文3</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_年北辰区校园班级合唱比赛(小学)四年一班《柳树姑娘》《让我们荡起双桨》一等奖。校园获得优秀组织奖。20_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高中校长工作总结范文5</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2025-05-03T10:59:12+08:00</dcterms:created>
  <dcterms:modified xsi:type="dcterms:W3CDTF">2025-05-03T10:59:12+08:00</dcterms:modified>
</cp:coreProperties>
</file>

<file path=docProps/custom.xml><?xml version="1.0" encoding="utf-8"?>
<Properties xmlns="http://schemas.openxmlformats.org/officeDocument/2006/custom-properties" xmlns:vt="http://schemas.openxmlformats.org/officeDocument/2006/docPropsVTypes"/>
</file>