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202_年营商环境建设监督局工作总结</w:t>
      </w:r>
      <w:bookmarkEnd w:id="1"/>
    </w:p>
    <w:p>
      <w:pPr>
        <w:jc w:val="center"/>
        <w:spacing w:before="0" w:after="450"/>
      </w:pPr>
      <w:r>
        <w:rPr>
          <w:rFonts w:ascii="Arial" w:hAnsi="Arial" w:eastAsia="Arial" w:cs="Arial"/>
          <w:color w:val="999999"/>
          <w:sz w:val="20"/>
          <w:szCs w:val="20"/>
        </w:rPr>
        <w:t xml:space="preserve">来源：网络  作者：无殇蝶舞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_年是成都市“国际化营商环境建设年”，都江堰市行政审批局全面贯彻落实成都市、都江堰市工作部署，扎实推进国际化营商环境建设工作。本站为大家带来的202_年营商环境建设监督局工作总结，希望能帮助到大家!　　202_年营商环境建设监督局工作...</w:t>
      </w:r>
    </w:p>
    <w:p>
      <w:pPr>
        <w:ind w:left="0" w:right="0" w:firstLine="560"/>
        <w:spacing w:before="450" w:after="450" w:line="312" w:lineRule="auto"/>
      </w:pPr>
      <w:r>
        <w:rPr>
          <w:rFonts w:ascii="宋体" w:hAnsi="宋体" w:eastAsia="宋体" w:cs="宋体"/>
          <w:color w:val="000"/>
          <w:sz w:val="28"/>
          <w:szCs w:val="28"/>
        </w:rPr>
        <w:t xml:space="preserve">202_年是成都市“国际化营商环境建设年”，都江堰市行政审批局全面贯彻落实成都市、都江堰市工作部署，扎实推进国际化营商环境建设工作。本站为大家带来的202_年营商环境建设监督局工作总结，希望能帮助到大家![_TAG_h2]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根据县优化营商环境方案具体要求，市监局勇当“放管服”改革的先行者，着力优化营商环境。现将主要工作总结如下：</w:t>
      </w:r>
    </w:p>
    <w:p>
      <w:pPr>
        <w:ind w:left="0" w:right="0" w:firstLine="560"/>
        <w:spacing w:before="450" w:after="450" w:line="312" w:lineRule="auto"/>
      </w:pPr>
      <w:r>
        <w:rPr>
          <w:rFonts w:ascii="宋体" w:hAnsi="宋体" w:eastAsia="宋体" w:cs="宋体"/>
          <w:color w:val="000"/>
          <w:sz w:val="28"/>
          <w:szCs w:val="28"/>
        </w:rPr>
        <w:t xml:space="preserve">　　&gt;一、食药安全工程扎实推进。上半年，我局持续开展了食品药品安全领域风险集中排查整治行动、食品药品安全风险隐患排查治理、节日食品安全整顿、清查“山寨食品”、“五毛食品”、和校园周边食品安全、学校食堂安全整治、“3.15曝光问题食品”专项清查等20余项专项整治行动，全面地排查治理了食品药品安全隐患，有效保证了食品药品安全;为全面巩固“创建国家食品安全示范城市”成果，深入开展“放心肉菜示范超市”创建活动，实施集中交易市场整治提升行动，全面开展了打击食品保健食品“百日攻坚”行动。通过排查治理，食品、保健食品、医疗器械欺诈和虚假宣传现象基本得到有效遏制;食品生产企业质量管理水平提升、餐饮业质量安全提升、药品零售企业规范化建设以及食品药品抽检工作均全面有力推进。截至目前，共发放食品安全宣传资料5000余份，检查食品经营户1320家，排查安全隐患46个，整改完成46个，整改率达100%;已完成262个批次的食用农产品抽样检测，待检测机构出具检测报告后，我局将依据检测结果，对经销不合格食用农产品的经营单位依法进行查处。</w:t>
      </w:r>
    </w:p>
    <w:p>
      <w:pPr>
        <w:ind w:left="0" w:right="0" w:firstLine="560"/>
        <w:spacing w:before="450" w:after="450" w:line="312" w:lineRule="auto"/>
      </w:pPr>
      <w:r>
        <w:rPr>
          <w:rFonts w:ascii="宋体" w:hAnsi="宋体" w:eastAsia="宋体" w:cs="宋体"/>
          <w:color w:val="000"/>
          <w:sz w:val="28"/>
          <w:szCs w:val="28"/>
        </w:rPr>
        <w:t xml:space="preserve">　　&gt;二、质量提升行动开展有序。我局以实施传统产业转型升级年为着力点，深入实施质量强县战略，扎实做好质量提升工作，着力提升盐山县产品质量水平。一是完善工作机制。我局牵头制定了《盐山县开展质量提升行动加快质量强县建设的实施方案》，于3月5日组织召开了全县质量提升工作调度会议;4月16日召开全县质量提升培训会议，邀请省专家对县直有关部门和51家企业负责人进行培训。二是突出标准引领。建立并实施企业领跑者制度，由我局联合发改、商信、教育、文化等八部门制定了《标准领跑者实施方案》，指导沧海核装备科技股份有限公司“企业标准化示范单位”考核验收前期准备工作，帮助河北汇东管道股份有限公司主持制定国家标准1项。三是夯实计量基础。建立与国家标准统一的强检计量器具服务系统，规范检定流程。上半年共检定各类计量器具202_台。</w:t>
      </w:r>
    </w:p>
    <w:p>
      <w:pPr>
        <w:ind w:left="0" w:right="0" w:firstLine="560"/>
        <w:spacing w:before="450" w:after="450" w:line="312" w:lineRule="auto"/>
      </w:pPr>
      <w:r>
        <w:rPr>
          <w:rFonts w:ascii="宋体" w:hAnsi="宋体" w:eastAsia="宋体" w:cs="宋体"/>
          <w:color w:val="000"/>
          <w:sz w:val="28"/>
          <w:szCs w:val="28"/>
        </w:rPr>
        <w:t xml:space="preserve">　　&gt;三、 “双随机一公开”监管常态化。继续发挥好牵头作用，督促指导相关部门科学实施“双随机”抽查，做到不流于形式，形成监管常态化。今年上半年，全县列入异常经营名录230余家，指导企业纠正违法违规行为并拉出异常85家;3.15期间，联合相关部门对50家食品批发和零售经营户进行了双随机抽查，并将抽查结果全部录入河北省双随机与双告知综合系统予以公示。</w:t>
      </w:r>
    </w:p>
    <w:p>
      <w:pPr>
        <w:ind w:left="0" w:right="0" w:firstLine="560"/>
        <w:spacing w:before="450" w:after="450" w:line="312" w:lineRule="auto"/>
      </w:pPr>
      <w:r>
        <w:rPr>
          <w:rFonts w:ascii="宋体" w:hAnsi="宋体" w:eastAsia="宋体" w:cs="宋体"/>
          <w:color w:val="000"/>
          <w:sz w:val="28"/>
          <w:szCs w:val="28"/>
        </w:rPr>
        <w:t xml:space="preserve">　　&gt;四、打造融资平台促进企业发展。我局采取多种方式，向各类企业、个体工商户、农民专业合作社和银行等有融资业务的单位广泛宣传股权质押、动产抵押、商标专用权质押登记等融资政策，大力引导企业通过股权、动产、商标专用权的资本化运作，盘活资产，加快企业发展。目前共办理动产抵押11笔，为企业融资1.4亿元。</w:t>
      </w:r>
    </w:p>
    <w:p>
      <w:pPr>
        <w:ind w:left="0" w:right="0" w:firstLine="560"/>
        <w:spacing w:before="450" w:after="450" w:line="312" w:lineRule="auto"/>
      </w:pPr>
      <w:r>
        <w:rPr>
          <w:rFonts w:ascii="宋体" w:hAnsi="宋体" w:eastAsia="宋体" w:cs="宋体"/>
          <w:color w:val="000"/>
          <w:sz w:val="28"/>
          <w:szCs w:val="28"/>
        </w:rPr>
        <w:t xml:space="preserve">　　下一步，我局将继续发挥职能作用，坚定不移推进深化改革，进一步创新监管模式，加大服务力度，使“双创双服”工作真正落地见效，让市场主体创新发展，让市场经济创造活力。</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黑体" w:hAnsi="黑体" w:eastAsia="黑体" w:cs="黑体"/>
          <w:color w:val="000000"/>
          <w:sz w:val="36"/>
          <w:szCs w:val="36"/>
          <w:b w:val="1"/>
          <w:bCs w:val="1"/>
        </w:rPr>
        <w:t xml:space="preserve">　　202_年营商环境建设监督局工作总结</w:t>
      </w:r>
    </w:p>
    <w:p>
      <w:pPr>
        <w:ind w:left="0" w:right="0" w:firstLine="560"/>
        <w:spacing w:before="450" w:after="450" w:line="312" w:lineRule="auto"/>
      </w:pPr>
      <w:r>
        <w:rPr>
          <w:rFonts w:ascii="宋体" w:hAnsi="宋体" w:eastAsia="宋体" w:cs="宋体"/>
          <w:color w:val="000"/>
          <w:sz w:val="28"/>
          <w:szCs w:val="28"/>
        </w:rPr>
        <w:t xml:space="preserve">　　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不断深化“放管服”改革，切实提升服务效率。一是打造互联网+政务平台建设。为打牢信息化建设基础，实现网办率飞跃式提升，健全需求侧数据库，年初以来，组织全区26家单位80余人次进行了政务事项录入培训，完成了行政审批事项录入192项;二是扎实开展“树口碑”行动。年初，根据区委书记要求，在政务服务中心大力开展“树口碑”行动，着力改善审批服务堵点,解决企业群众办事难点。通过征集群众建议、实地走访调研、集中会议研究等方式，制定了道路货物运输证承诺制办理、公证处免费代办相关查档业务、就业创业证承诺制办理、涉企证件免费邮寄、一分钟办税等13条便企利民举措，现已初显成效;三是不断推进惠企政策落地。作为全市率先开设的产业政策窗口，自运行以来，严格落实窗口一站式受理、具体业务部门审批、财政予以拨付的工作流程，大大提升了企业政策扶持办事效率。截至目前共接待189余家企业咨询，受理产业政策申请52件，发放扶持资金1061万元;四是推行“一窗制”审批改革。随着“放管服”改革的不断深入，区营商局在政务中心审批厅大力推行“一窗受理、一窗通办”服务。通过加强资源整合、优化流程，让群众感受“等时少、服务好、秩序优”的服务新体验。推行“前台受理、后台分类办理、统一窗口出件”政务服务模式，实行审批区综合受理。目前已将行政审批大厅内的10家审批部门纳入“一窗制”综合受理，为下一步实现平台化审批，打下了良好基础;五是推行网上自助办理。为进一步提升审批服务效能，减少企业群众办事时间成本，积极推行“网上办、自助办”。皇姑区在政务中心开辟网上自助专区，利用电子政务办公平台，开展商事服务全程电子化审批，网上审批事项达7100余件，为企业节省了时间成本;六是推出新办企业“高速ETC”服务。为提升服务效率，区营商局协调区市场局、税务分局、银行、刻章企联合推出“新办企业高速ETC”服务将商事注册时间压缩至1个工作日，企业开办时间由7.5个工作日缩减到3个工作日，并开设专门窗口提供联办服务，新办企业办理驶上高速服务快车道。</w:t>
      </w:r>
    </w:p>
    <w:p>
      <w:pPr>
        <w:ind w:left="0" w:right="0" w:firstLine="560"/>
        <w:spacing w:before="450" w:after="450" w:line="312" w:lineRule="auto"/>
      </w:pPr>
      <w:r>
        <w:rPr>
          <w:rFonts w:ascii="宋体" w:hAnsi="宋体" w:eastAsia="宋体" w:cs="宋体"/>
          <w:color w:val="000"/>
          <w:sz w:val="28"/>
          <w:szCs w:val="28"/>
        </w:rPr>
        <w:t xml:space="preserve">　　(二)构建“亲、清”政商关系，营造良好营商环境。一是扎实开展“万人进万企”活动。为扩充服务范围，满足企业需求，将691家企业纳入“万人进万企”活动范畴，按要求全部选配了包保干部。为切实解决企业诉求，营商局组成“万人进万企”工作小组，通过实地走访、专题协调、领导包案等手段不断提升诉求办结率。截至目前，共接收市一级平台转办到区二级平台的企业诉求110件，已回复108件。二是成立解决企业诉求工作六大专班。为加速推动企业反映问题有效解决，区委、区政府设立了由分管区级领导负责、主管区直部门牵头及相关区直部门配合的六大工作专班。主要围绕政府诚信、企业税费、涉法涉诉、城市建设、企业融资、土地征收这六个方面解决企业的问题;三是联合建立“营商环境发展平台”。为加强与企业沟通、宣传政府服务政策、解决企业发展难题，营商局与区政协、工商联等部门合作成立“营商环境发展平台”，提供诉求解决、政策咨询、产业扶持政策协助办理、政务服务事项协办代办等服务。目前已有14家商会、协会、企业加入该平台;四是深入开展营商环境整治。营商局针对政府失信、企业群众办事难、跨区拉税源等营商环境问题，成立了专项整治行动领导小组，严格落实“日报告、周调度”制度，切实加强问题解决力度。目前，我区共发现问题30项，提出具体整改措施38项，解决问题16项，已建立长效机制7项;五是积极开展“项目管家”工作。为提升企业服务质量，将重点项目(企业)纳入服务范围，按照“1名项目(企业)管家+1名企业联系人+N个行政职能部门联系人”的“1+1+N”模式开展服务。为全区规模以上企业、限额以上商贸流通企业、总投资5000万元及以上的重点项目共192家提供管家服务，配备项目管家530人，提供服务455次;六是加大力度办理营商案件。202_年至今，共接收省市营商案件67件，通过分类办结、定期调度督办等方式狠抓营商案件办理，截至目前，共办结54件，办结率80.6%;七是加大网上平台宣传。为提升办事效率、满足企业群众办事需求，区营商局组织全区具备服务职能的单位开展“沈阳营商”微信公众号公开公示工作。公示全区68家服务单位，服务干部581人，驻政务中心窗口岗位133个，印制营商纸介名片2万余份，切实让企业群众办事找得到人、问得对人，减少跑腿次数。</w:t>
      </w:r>
    </w:p>
    <w:p>
      <w:pPr>
        <w:ind w:left="0" w:right="0" w:firstLine="560"/>
        <w:spacing w:before="450" w:after="450" w:line="312" w:lineRule="auto"/>
      </w:pPr>
      <w:r>
        <w:rPr>
          <w:rFonts w:ascii="宋体" w:hAnsi="宋体" w:eastAsia="宋体" w:cs="宋体"/>
          <w:color w:val="000"/>
          <w:sz w:val="28"/>
          <w:szCs w:val="28"/>
        </w:rPr>
        <w:t xml:space="preserve">　　(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　　(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审批制度改革落实还不彻底。区内个别部门仍然存在审批事项不进厅、审批权限不集中、不到位、事项转交不彻底等问题。结合政务平台建设，个别部门仍存在需求侧事项未录入、信息不准确、网办率较低等问题。</w:t>
      </w:r>
    </w:p>
    <w:p>
      <w:pPr>
        <w:ind w:left="0" w:right="0" w:firstLine="560"/>
        <w:spacing w:before="450" w:after="450" w:line="312" w:lineRule="auto"/>
      </w:pPr>
      <w:r>
        <w:rPr>
          <w:rFonts w:ascii="宋体" w:hAnsi="宋体" w:eastAsia="宋体" w:cs="宋体"/>
          <w:color w:val="000"/>
          <w:sz w:val="28"/>
          <w:szCs w:val="28"/>
        </w:rPr>
        <w:t xml:space="preserve">　　(二)政务中心窗口建设仍有待加强。经过近两年的窗口质量专项整治，窗口服务水平有较大提高，但部分窗口单位存在服务不够热情、解决问题能力不高的问题。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　　(三)营商案件等企业诉求办结率不高。皇姑区营商案件中拖欠款类案件占案件总数比例较大，偿还金额少，办案难度较大，年底完成100%办结难度较大。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&gt;　　三、202_年工作目标</w:t>
      </w:r>
    </w:p>
    <w:p>
      <w:pPr>
        <w:ind w:left="0" w:right="0" w:firstLine="560"/>
        <w:spacing w:before="450" w:after="450" w:line="312" w:lineRule="auto"/>
      </w:pPr>
      <w:r>
        <w:rPr>
          <w:rFonts w:ascii="宋体" w:hAnsi="宋体" w:eastAsia="宋体" w:cs="宋体"/>
          <w:color w:val="000"/>
          <w:sz w:val="28"/>
          <w:szCs w:val="28"/>
        </w:rPr>
        <w:t xml:space="preserve">　　(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　　(二)深化审批改革，全面提升效率。一是全面实施“一窗制”综合受理，实现前台综合受理，后台分别审批;二是推广审批事项全程网办，办除特殊事项外，实现皇姑区政务服务事项100%可网办，不断推进“一次不用跑”，并提高事项网上办件量;三是加强政务中心建设，实现全区审批事项进驻大厅到位、审批授权窗口到位、电子监察到位;四是不断优化审批流程，加强开展并联审批、容缺受理工作，最多跑一次事项数量再提升20%，审批效能再提升20%;四是提速新办企业办理。全面实施新办企业工商、税务、银行、刻章的“一站式办理”，为企业提供“一对一”服务。优化办理流程，新办企业在政府窗口审批时限压缩在4小时之内，全流程办理时限提升至48小时之内。</w:t>
      </w:r>
    </w:p>
    <w:p>
      <w:pPr>
        <w:ind w:left="0" w:right="0" w:firstLine="560"/>
        <w:spacing w:before="450" w:after="450" w:line="312" w:lineRule="auto"/>
      </w:pPr>
      <w:r>
        <w:rPr>
          <w:rFonts w:ascii="宋体" w:hAnsi="宋体" w:eastAsia="宋体" w:cs="宋体"/>
          <w:color w:val="000"/>
          <w:sz w:val="28"/>
          <w:szCs w:val="28"/>
        </w:rPr>
        <w:t xml:space="preserve">　　(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　　202_年，营商局将以习近平总书记在深入推进东北振兴座谈会上的重要讲话精神为指导，严格落实《辽宁省优化营商环境条例》和沈阳市相关要求，不断打造便捷高效的政务环境，切实提升我区营商环境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2025-05-13T11:50:56+08:00</dcterms:created>
  <dcterms:modified xsi:type="dcterms:W3CDTF">2025-05-13T11:50:56+08:00</dcterms:modified>
</cp:coreProperties>
</file>

<file path=docProps/custom.xml><?xml version="1.0" encoding="utf-8"?>
<Properties xmlns="http://schemas.openxmlformats.org/officeDocument/2006/custom-properties" xmlns:vt="http://schemas.openxmlformats.org/officeDocument/2006/docPropsVTypes"/>
</file>