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军人委员会年度总结范文三篇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该委员会由以下人员组成：1.由政党、团体、机关和学校的集体领导组织如中共中央、体育委员会和校务委员会组成。2.机关、团体、学校等为完成一定任务而设立的专门机构如招生委员会、饮食委员会、管委会等。 以下是为大家整理的关于军人委员会年度总结的文...</w:t>
      </w:r>
    </w:p>
    <w:p>
      <w:pPr>
        <w:ind w:left="0" w:right="0" w:firstLine="560"/>
        <w:spacing w:before="450" w:after="450" w:line="312" w:lineRule="auto"/>
      </w:pPr>
      <w:r>
        <w:rPr>
          <w:rFonts w:ascii="宋体" w:hAnsi="宋体" w:eastAsia="宋体" w:cs="宋体"/>
          <w:color w:val="000"/>
          <w:sz w:val="28"/>
          <w:szCs w:val="28"/>
        </w:rPr>
        <w:t xml:space="preserve">该委员会由以下人员组成：1.由政党、团体、机关和学校的集体领导组织如中共中央、体育委员会和校务委员会组成。2.机关、团体、学校等为完成一定任务而设立的专门机构如招生委员会、饮食委员会、管委会等。 以下是为大家整理的关于军人委员会年度总结的文章3篇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军人委员会年度总结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第2篇: 军人委员会年度总结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军人委员会年度总结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2025-06-16T05:24:00+08:00</dcterms:created>
  <dcterms:modified xsi:type="dcterms:W3CDTF">2025-06-16T05:24:00+08:00</dcterms:modified>
</cp:coreProperties>
</file>

<file path=docProps/custom.xml><?xml version="1.0" encoding="utf-8"?>
<Properties xmlns="http://schemas.openxmlformats.org/officeDocument/2006/custom-properties" xmlns:vt="http://schemas.openxmlformats.org/officeDocument/2006/docPropsVTypes"/>
</file>