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安徽新兴产业工作总结(推荐8篇)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徽新兴产业工作总结1二、存在的主要问题与不足存在问题：20_年，我委虽已加强规范性文件信息公开规范，但仍存在规范性文件解读质量不高等问题，规范性文件公开管理工作仍需加强。三、20_年工作计划着力提高政策解读质量。争取运用图片等多种新媒体形...</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安徽新兴产业工作总结1</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存在问题：20_年，我委虽已加强规范性文件信息公开规范，但仍存在规范性文件解读质量不高等问题，规范性文件公开管理工作仍需加强。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着力提高政策解读质量。争取运用图片等多种新媒体形式开展政策解读,利用微信公众号等平台扩大解读材料影响力,围绕政策核心内容开展有针对性解读分析,真正发挥政策解读优化营商环境的作用。持续加强规范性文件公开管理工作，及时对所制发规范性文件进行备案，做到规范性文件应备案尽备案。以权力清单、责任清单、公共服务清单等为依据，按照“应公开、尽公开”的要求，以公开为常态、不公开为例外的标准，严格做好信息公开工作，全面推进决策、执行、管理、服务、结果公开。</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安徽新兴产业工作总结2</w:t>
      </w:r>
    </w:p>
    <w:p>
      <w:pPr>
        <w:ind w:left="0" w:right="0" w:firstLine="560"/>
        <w:spacing w:before="450" w:after="450" w:line="312" w:lineRule="auto"/>
      </w:pPr>
      <w:r>
        <w:rPr>
          <w:rFonts w:ascii="宋体" w:hAnsi="宋体" w:eastAsia="宋体" w:cs="宋体"/>
          <w:color w:val="000"/>
          <w:sz w:val="28"/>
          <w:szCs w:val="28"/>
        </w:rPr>
        <w:t xml:space="preserve">积极组织战新产业企业申报“三重一创”政策支持，成功申报昊源化工、金木工艺、安固锅炉等企业支持新建项目类及奖励重大团队类、支持高新技术企业成长类奖补资金，已兑现奖补资金3000余万元。结合“四送一服”活动，做好“两重”（重大新兴产业专项和重大新兴产业工程）、高技术专项、省工程研究中心、支持现代医疗和医药产业发展专项、增强制造业核心竞争力专项、技改专项等政策的摸排申报，确保应报尽报。今年以来，组织召开战略性新兴产业政策宣讲会、座谈会10余场，调研企业数十次，强化科技、人才等各类要素对接，协调并解决战新企业发展中遇到的疑难问题，进一步激发了战新企业发展活力。</w:t>
      </w:r>
    </w:p>
    <w:p>
      <w:pPr>
        <w:ind w:left="0" w:right="0" w:firstLine="560"/>
        <w:spacing w:before="450" w:after="450" w:line="312" w:lineRule="auto"/>
      </w:pPr>
      <w:r>
        <w:rPr>
          <w:rFonts w:ascii="宋体" w:hAnsi="宋体" w:eastAsia="宋体" w:cs="宋体"/>
          <w:color w:val="000"/>
          <w:sz w:val="28"/>
          <w:szCs w:val="28"/>
        </w:rPr>
        <w:t xml:space="preserve">二、颍东区战略性新兴产业在发展中仍面临一些瓶颈制约和突出问题</w:t>
      </w:r>
    </w:p>
    <w:p>
      <w:pPr>
        <w:ind w:left="0" w:right="0" w:firstLine="560"/>
        <w:spacing w:before="450" w:after="450" w:line="312" w:lineRule="auto"/>
      </w:pPr>
      <w:r>
        <w:rPr>
          <w:rFonts w:ascii="宋体" w:hAnsi="宋体" w:eastAsia="宋体" w:cs="宋体"/>
          <w:color w:val="000"/>
          <w:sz w:val="28"/>
          <w:szCs w:val="28"/>
        </w:rPr>
        <w:t xml:space="preserve">一是战新企业个数少且占比低。目前，我区战新产值在全市的比重仅4%，在8个县市区中排名第4；产值占全区工业总产值的比重不足10%，低于全市平均水平。二是战新企业规模较小且抗风险能力不强。22家企业中产值超亿元以上的企业6家，超5亿元的2家，全区战新企业产值的增幅与龙头企业的带动关系较大。三是由于市场形势发生变化及受环保督察影响，部分企业承接的订单方向改变，企业订单及利润下降，产量减少。个别企业生产车间停产。四是缺少知名品牌和拳头产品，市场竞争力弱。部分企业本身缺少开拓创新意识，抗风险能力较差，不敢、不愿意研发新产品，存在小富即安的思想。</w:t>
      </w:r>
    </w:p>
    <w:p>
      <w:pPr>
        <w:ind w:left="0" w:right="0" w:firstLine="560"/>
        <w:spacing w:before="450" w:after="450" w:line="312" w:lineRule="auto"/>
      </w:pPr>
      <w:r>
        <w:rPr>
          <w:rFonts w:ascii="宋体" w:hAnsi="宋体" w:eastAsia="宋体" w:cs="宋体"/>
          <w:color w:val="000"/>
          <w:sz w:val="28"/>
          <w:szCs w:val="28"/>
        </w:rPr>
        <w:t xml:space="preserve">三、以改革创新为引领大力确保战新产业“十三五”发展目标任务顺利完成</w:t>
      </w:r>
    </w:p>
    <w:p>
      <w:pPr>
        <w:ind w:left="0" w:right="0" w:firstLine="560"/>
        <w:spacing w:before="450" w:after="450" w:line="312" w:lineRule="auto"/>
      </w:pPr>
      <w:r>
        <w:rPr>
          <w:rFonts w:ascii="宋体" w:hAnsi="宋体" w:eastAsia="宋体" w:cs="宋体"/>
          <w:color w:val="000"/>
          <w:sz w:val="28"/>
          <w:szCs w:val="28"/>
        </w:rPr>
        <w:t xml:space="preserve">针对当前战略性新兴产业发展面临的问题及挑战，围绕构建实体经济、科技创新、现代金融、人力资源协同发展的产业新体系要求，要进一步加大工作力度，提升自主创新能力、深化体制机制改革，强化金融和人才支撑，促进产业集聚集群发展，确保颍东区战新产业“十三五”发展目标任务顺利完成。</w:t>
      </w:r>
    </w:p>
    <w:p>
      <w:pPr>
        <w:ind w:left="0" w:right="0" w:firstLine="560"/>
        <w:spacing w:before="450" w:after="450" w:line="312" w:lineRule="auto"/>
      </w:pPr>
      <w:r>
        <w:rPr>
          <w:rFonts w:ascii="宋体" w:hAnsi="宋体" w:eastAsia="宋体" w:cs="宋体"/>
          <w:color w:val="000"/>
          <w:sz w:val="28"/>
          <w:szCs w:val="28"/>
        </w:rPr>
        <w:t xml:space="preserve">（一）下一步重点措施：一是创优企业经营环境。结合“四送一服”双千工程，不定期开展企业走访调研，及时掌握企业实际经营情况，帮助企业协调解决政策、资金等要素制约，为企业提供良好的生产发展环境。二是鼓励企业进行技改、创新。现有战新企业中技术落后的企业，鼓励其技改，提高效率和产能。对产品不能适应市场需求的企业，鼓励督促创新产品，增强市场竞争力。对市场前景好的企业，鼓励其进一步做优做强。对因环保不达标等原因而停产或减产的企业，抓紧督促其尽快整改，想方设法恢复生产并提高产能，弥补欠产。三是积极扶持培育新兴产业。加快发展智能制造、电子信息等战略性新兴产业，坚持集聚发展，加强上下游配套产业链，做大战新产业规模。对照最新战新产业名录，认真分析研究，主动与企业对接，尤其对成长性好和持续性强的企业，挖掘其生产经营范围中对应战新名录的部分，积极扶持，重点发展，培育为战新企业的后备军。四是及时调整战新企业名单。目前正在申报昊源化工等8家企业通过省级战略性新兴企业认定入库，同时对不符合条件的企业予以申报退出。五是做好招商引资工作。以颍东区定位及主导产业为导向，有针对性开展招商引资工作，大力引进高端智能制造、新能源汽车等方面的战略性新兴企业，填补产业空白，为颍东战新产业发展注入新的活力。</w:t>
      </w:r>
    </w:p>
    <w:p>
      <w:pPr>
        <w:ind w:left="0" w:right="0" w:firstLine="560"/>
        <w:spacing w:before="450" w:after="450" w:line="312" w:lineRule="auto"/>
      </w:pPr>
      <w:r>
        <w:rPr>
          <w:rFonts w:ascii="宋体" w:hAnsi="宋体" w:eastAsia="宋体" w:cs="宋体"/>
          <w:color w:val="000"/>
          <w:sz w:val="28"/>
          <w:szCs w:val="28"/>
        </w:rPr>
        <w:t xml:space="preserve">（二）重大工程及重大载体：一是实施煤基新材料产业工程。以阜阳煤基新材料产业园为平台，推进精细化工、化工新材料产业发展，积极培育百亿元产业集群和省级化工新材料产业集聚基地；以昊源集团和重大项目入驻为抓手，全力打造省级化工新材料产业集聚发展基地，力争到20_年化工产业产值达到70亿元。加强项目谋划，储备一批大项目、好项目，做深做实基础工作，确保项目持续推进，以重大项目促进结构调整，带动产业发展。二是实施智能显示产业工程。加快省级电子信息产业基地建设，进一步提升产业集聚。以鑫林电器为龙头，大力发展智能家居产品。重点建设颍东盈田产业园，致力于打造以新一代信息技术产品、数字视听产品、高端电子装备新型电子元器件、智能移动终端为主体的产业特色鲜明、综合配套能力较强的新型工业园区。到20_年，计划新引进企业20家，其中5家整机厂、15家左右配套企业，实现年产值80亿元。积极筹划智能家居、通用航空、机器人等新兴产业发展，加强与广州、深圳等地的交流合作，针对性开展招商，引进相关企业落户颍东。</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安徽新兴产业工作总结3</w:t>
      </w:r>
    </w:p>
    <w:p>
      <w:pPr>
        <w:ind w:left="0" w:right="0" w:firstLine="560"/>
        <w:spacing w:before="450" w:after="450" w:line="312" w:lineRule="auto"/>
      </w:pPr>
      <w:r>
        <w:rPr>
          <w:rFonts w:ascii="宋体" w:hAnsi="宋体" w:eastAsia="宋体" w:cs="宋体"/>
          <w:color w:val="000"/>
          <w:sz w:val="28"/>
          <w:szCs w:val="28"/>
        </w:rPr>
        <w:t xml:space="preserve">全区战新企业主要集聚在颍东经济开发区、阜阳煤基新材料产业园区，包括生物企业9家、新一代信息技术企业3家、节能环保企业4家、新能源企业4家、新材料企业1家、高端装备制造业企业1家。今年以来，作为颍东战略性新兴产业中规模最大、创新最密集的两个产业领域，以昊源化工为代表的煤基新材料产业和以国祯燃气为代表的生物产业实现较快增长，持续发挥支柱作用。昊源化工1-11月份累计完成产值亿元，同比增长38%，占全区工业产值比重达30%。国祯燃气1-11月份累计完成产值亿元，同比增长，当月增速达，增长势头强劲。</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安徽新兴产业工作总结4</w:t>
      </w:r>
    </w:p>
    <w:p>
      <w:pPr>
        <w:ind w:left="0" w:right="0" w:firstLine="560"/>
        <w:spacing w:before="450" w:after="450" w:line="312" w:lineRule="auto"/>
      </w:pPr>
      <w:r>
        <w:rPr>
          <w:rFonts w:ascii="宋体" w:hAnsi="宋体" w:eastAsia="宋体" w:cs="宋体"/>
          <w:color w:val="000"/>
          <w:sz w:val="28"/>
          <w:szCs w:val="28"/>
        </w:rPr>
        <w:t xml:space="preserve">(一)突出政策引导，营造发展氛围。高新区把发展战略性新兴产业作为高质量转型发展的重要抓手，重点培育陶铝新材料及装备制造、生物医药及大健康、新能源及电子信息三大主导产业。以“做大总量、加快集聚”为目标，加大招商引资和项目推进力度，重点扶持战略性新兴产业和高新技术产业做强做大、做专做精，对于新引进的战略性新兴产业项目优先政策审批、保障项目用地。</w:t>
      </w:r>
    </w:p>
    <w:p>
      <w:pPr>
        <w:ind w:left="0" w:right="0" w:firstLine="560"/>
        <w:spacing w:before="450" w:after="450" w:line="312" w:lineRule="auto"/>
      </w:pPr>
      <w:r>
        <w:rPr>
          <w:rFonts w:ascii="宋体" w:hAnsi="宋体" w:eastAsia="宋体" w:cs="宋体"/>
          <w:color w:val="000"/>
          <w:sz w:val="28"/>
          <w:szCs w:val="28"/>
        </w:rPr>
        <w:t xml:space="preserve">(二)突出规划引导，延伸产业链条。坚持把规划引导作为促进战略性新兴产业超常规发展的重要举措，科学编制和完善战略性新兴产业发展规划，明确发展目标、产业布局、发展重点、主攻方向和重大措施。细化各产业发展的重点领域、关键环节和主要任务，建立战略性新兴产业项目库。</w:t>
      </w:r>
    </w:p>
    <w:p>
      <w:pPr>
        <w:ind w:left="0" w:right="0" w:firstLine="560"/>
        <w:spacing w:before="450" w:after="450" w:line="312" w:lineRule="auto"/>
      </w:pPr>
      <w:r>
        <w:rPr>
          <w:rFonts w:ascii="宋体" w:hAnsi="宋体" w:eastAsia="宋体" w:cs="宋体"/>
          <w:color w:val="000"/>
          <w:sz w:val="28"/>
          <w:szCs w:val="28"/>
        </w:rPr>
        <w:t xml:space="preserve">(三)突出开放合作，搭建招商平台。加大战略性新兴产业项目招商力度，重点围绕陶铝新材料及装备制造、生物医药及大健康、新能源及电子信息等新兴产业招商，打造产业集聚，延长产业链。每年定期举办战略性新兴产业招商项目推介会，力争年均签约入区战略性新兴产业项目不少于15个。</w:t>
      </w:r>
    </w:p>
    <w:p>
      <w:pPr>
        <w:ind w:left="0" w:right="0" w:firstLine="560"/>
        <w:spacing w:before="450" w:after="450" w:line="312" w:lineRule="auto"/>
      </w:pPr>
      <w:r>
        <w:rPr>
          <w:rFonts w:ascii="宋体" w:hAnsi="宋体" w:eastAsia="宋体" w:cs="宋体"/>
          <w:color w:val="000"/>
          <w:sz w:val="28"/>
          <w:szCs w:val="28"/>
        </w:rPr>
        <w:t xml:space="preserve">(四)突出项目建设，增强发展后劲。坚持重大项目带动战略，大力推进项目建设。“十四五”期间，力争全区战略性新兴产业完成投资年均增长不低于12%。“一企一策”优先解决战略性新兴产业项目在推进过程中遇到的用地、环评、用电及融资等各类困难。</w:t>
      </w:r>
    </w:p>
    <w:p>
      <w:pPr>
        <w:ind w:left="0" w:right="0" w:firstLine="560"/>
        <w:spacing w:before="450" w:after="450" w:line="312" w:lineRule="auto"/>
      </w:pPr>
      <w:r>
        <w:rPr>
          <w:rFonts w:ascii="宋体" w:hAnsi="宋体" w:eastAsia="宋体" w:cs="宋体"/>
          <w:color w:val="000"/>
          <w:sz w:val="28"/>
          <w:szCs w:val="28"/>
        </w:rPr>
        <w:t xml:space="preserve">(五)突出企业扶持，促进产业集聚。建立重点企业帮扶机制，制定实施企业培育壮大计划，在政策、资金、用工等方面，向重点骨干企业和成长性较好的企业倾斜，切实为企业排忧解难，促进企业做大规模、提质增效。注重发挥园区的承载作用，引导各类要素资源向战略性新兴产业集聚，提高产业配套能力和水平，加快建设战略性新兴产业配套基地。</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安徽新兴产业工作总结5</w:t>
      </w:r>
    </w:p>
    <w:p>
      <w:pPr>
        <w:ind w:left="0" w:right="0" w:firstLine="560"/>
        <w:spacing w:before="450" w:after="450" w:line="312" w:lineRule="auto"/>
      </w:pPr>
      <w:r>
        <w:rPr>
          <w:rFonts w:ascii="宋体" w:hAnsi="宋体" w:eastAsia="宋体" w:cs="宋体"/>
          <w:color w:val="000"/>
          <w:sz w:val="28"/>
          <w:szCs w:val="28"/>
        </w:rPr>
        <w:t xml:space="preserve">近年来，高新区坚持将发展战略性新兴产业作为推动产业转型升级、促进高质量发展的重要举措。“十三五”期间，初步形成了陶铝新材料及装备制造、生物医药及大健康、新能源及电子信息三大新兴产业。</w:t>
      </w:r>
    </w:p>
    <w:p>
      <w:pPr>
        <w:ind w:left="0" w:right="0" w:firstLine="560"/>
        <w:spacing w:before="450" w:after="450" w:line="312" w:lineRule="auto"/>
      </w:pPr>
      <w:r>
        <w:rPr>
          <w:rFonts w:ascii="宋体" w:hAnsi="宋体" w:eastAsia="宋体" w:cs="宋体"/>
          <w:color w:val="000"/>
          <w:sz w:val="28"/>
          <w:szCs w:val="28"/>
        </w:rPr>
        <w:t xml:space="preserve">(一)产业规模。高新区战略性新兴产业企业27家，预计20_年战略性新兴产业产值同比增长27%，高于规上工业总产值增幅15个百分点。理士新能源、旺能环保、天茂新能源等新一代信息技术产业企业产能逐步释放，客观上增加全区战略性新兴产业产值的总量;华润金蟾等生物医药企业近年保持较大幅度增长;相邦复合材料公司等陶铝新材料产业企业逐步投产达产。现有新一代信息技术产业企业9家，生物产业企业3家，新材料产业企业6家，节能环保产业企业5家，新能源汽车产业企业1家，新能源产业企业3家。</w:t>
      </w:r>
    </w:p>
    <w:p>
      <w:pPr>
        <w:ind w:left="0" w:right="0" w:firstLine="560"/>
        <w:spacing w:before="450" w:after="450" w:line="312" w:lineRule="auto"/>
      </w:pPr>
      <w:r>
        <w:rPr>
          <w:rFonts w:ascii="宋体" w:hAnsi="宋体" w:eastAsia="宋体" w:cs="宋体"/>
          <w:color w:val="000"/>
          <w:sz w:val="28"/>
          <w:szCs w:val="28"/>
        </w:rPr>
        <w:t xml:space="preserve">(二)产业集聚。一是陶铝新材料及装备制造产业。以满足国家对关键性材料技术和中高端市场需求为导向，加快陶铝新材料产品开发和应用市场拓展。航空陶铝新材料基地、汽车轻量化、陶铝新动力、3D打印制粉等项目取得实质性进展;陶铝新材料产业园一期建成投产，已入驻3家公司，其中安徽相邦复合材料有限公司具备万吨陶铝原材料生产能力。</w:t>
      </w:r>
    </w:p>
    <w:p>
      <w:pPr>
        <w:ind w:left="0" w:right="0" w:firstLine="560"/>
        <w:spacing w:before="450" w:after="450" w:line="312" w:lineRule="auto"/>
      </w:pPr>
      <w:r>
        <w:rPr>
          <w:rFonts w:ascii="宋体" w:hAnsi="宋体" w:eastAsia="宋体" w:cs="宋体"/>
          <w:color w:val="000"/>
          <w:sz w:val="28"/>
          <w:szCs w:val="28"/>
        </w:rPr>
        <w:t xml:space="preserve">二是生物医药姬大健康产业。依托以华润金蟾为龙头的一批生物科技项目，以“大生物、大健康”为导向，不断延伸产业链条，着力引进、培育一批生物制药、医疗器械、健康产品、医疗服务、养生保健等关联企业，构建集生物医药、健康养生等为一体的大健康产业集群。支持华润金蟾做大做强，从总部引进现代中药新项目，打造现代中药产业链;重点引进提取、发酵、生物合成等生物源医药项目，谋划建设生物医药及新医药产业孵化器。</w:t>
      </w:r>
    </w:p>
    <w:p>
      <w:pPr>
        <w:ind w:left="0" w:right="0" w:firstLine="560"/>
        <w:spacing w:before="450" w:after="450" w:line="312" w:lineRule="auto"/>
      </w:pPr>
      <w:r>
        <w:rPr>
          <w:rFonts w:ascii="宋体" w:hAnsi="宋体" w:eastAsia="宋体" w:cs="宋体"/>
          <w:color w:val="000"/>
          <w:sz w:val="28"/>
          <w:szCs w:val="28"/>
        </w:rPr>
        <w:t xml:space="preserve">三是新能源及电子信息。加快发展以锂电池为核心的新能源产业，夯实园区锂电池产业基础，已初步集聚正极材料、负极材料、PACK等产业链企业。理士、品优、普十、作科、相源、锂桥、天茂等锂电池及其产业配套项目建成投产。</w:t>
      </w:r>
    </w:p>
    <w:p>
      <w:pPr>
        <w:ind w:left="0" w:right="0" w:firstLine="560"/>
        <w:spacing w:before="450" w:after="450" w:line="312" w:lineRule="auto"/>
      </w:pPr>
      <w:r>
        <w:rPr>
          <w:rFonts w:ascii="宋体" w:hAnsi="宋体" w:eastAsia="宋体" w:cs="宋体"/>
          <w:color w:val="000"/>
          <w:sz w:val="28"/>
          <w:szCs w:val="28"/>
        </w:rPr>
        <w:t xml:space="preserve">(三)重点企业。安徽理士新能源发展有限公司年产4GWh锂电子动力电池一期项目建成投产，与南开大学合作共建新能源研究院。安徽相邦复合材料有限公司的陶铝新材料具备世界领先水平，该材料结合了陶瓷颗粒硬度高、刚度高和铝合金密度低、塑性好的优点，具有高比强度、高比刚度和高抗疲劳等优异的综合性能，在航空、航天、国防、汽车工业等领域的应用潜力巨大。华润金蟾是华润三九集团抗肿瘤中药和配方颗粒的生产制造中心，目前有大容量注射剂、片剂、颗粒剂等9个剂型，均通过了国家GMP认证，企业综合竞争能力、市场销售收入和利润均位居安徽省医药行业前列。主导产品“金蟾”牌华蟾素是利用现代制药技术精制而成的纯中药制剂，系国内首创，独家生产。</w:t>
      </w:r>
    </w:p>
    <w:p>
      <w:pPr>
        <w:ind w:left="0" w:right="0" w:firstLine="560"/>
        <w:spacing w:before="450" w:after="450" w:line="312" w:lineRule="auto"/>
      </w:pPr>
      <w:r>
        <w:rPr>
          <w:rFonts w:ascii="宋体" w:hAnsi="宋体" w:eastAsia="宋体" w:cs="宋体"/>
          <w:color w:val="000"/>
          <w:sz w:val="28"/>
          <w:szCs w:val="28"/>
        </w:rPr>
        <w:t xml:space="preserve">(四)创新能力及平台。现有国家实验室1家，省级创新平台16个，全国制造业单项冠军示范企业1家，全国制造业单项冠军培育企业1家，国家绿色工厂2家，国家知识产权示范企业1家，国家知识产权优势企业3家，博士后工作站3个，院士工作站1个，中国驰名商标2个、中国名牌产品1个。并填写附表4。</w:t>
      </w:r>
    </w:p>
    <w:p>
      <w:pPr>
        <w:ind w:left="0" w:right="0" w:firstLine="560"/>
        <w:spacing w:before="450" w:after="450" w:line="312" w:lineRule="auto"/>
      </w:pPr>
      <w:r>
        <w:rPr>
          <w:rFonts w:ascii="宋体" w:hAnsi="宋体" w:eastAsia="宋体" w:cs="宋体"/>
          <w:color w:val="000"/>
          <w:sz w:val="28"/>
          <w:szCs w:val="28"/>
        </w:rPr>
        <w:t xml:space="preserve">(五)重点项目情况。天茂新能源、福岩环保设备、力源新能源、国轩象铝一期、天力新能源一期、理士新能源一期建成投产，合派电动车建成试生产，明美新能源设备安装调试、中北锂能正在进行厂房装修，汇科新材料主体在建。</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安徽新兴产业工作总结6</w:t>
      </w:r>
    </w:p>
    <w:p>
      <w:pPr>
        <w:ind w:left="0" w:right="0" w:firstLine="560"/>
        <w:spacing w:before="450" w:after="450" w:line="312" w:lineRule="auto"/>
      </w:pPr>
      <w:r>
        <w:rPr>
          <w:rFonts w:ascii="宋体" w:hAnsi="宋体" w:eastAsia="宋体" w:cs="宋体"/>
          <w:color w:val="000"/>
          <w:sz w:val="28"/>
          <w:szCs w:val="28"/>
        </w:rPr>
        <w:t xml:space="preserve">一是加强帮联服务。继续深入开展服务实体经济专项帮扶行动，把解决企业问题作为促进高新区战略性新兴产业发展的重要举措。对标全年目标任务，加强重点行业、重点企业运行监测。全面落实高新区支持企业发展相关政策，帮助企业争取国家、省、市各类扶持资金，认真贯彻国家降税减费政策。</w:t>
      </w:r>
    </w:p>
    <w:p>
      <w:pPr>
        <w:ind w:left="0" w:right="0" w:firstLine="560"/>
        <w:spacing w:before="450" w:after="450" w:line="312" w:lineRule="auto"/>
      </w:pPr>
      <w:r>
        <w:rPr>
          <w:rFonts w:ascii="宋体" w:hAnsi="宋体" w:eastAsia="宋体" w:cs="宋体"/>
          <w:color w:val="000"/>
          <w:sz w:val="28"/>
          <w:szCs w:val="28"/>
        </w:rPr>
        <w:t xml:space="preserve">二是加快项目建设。推进合派电动车、天力锂能等一批项目竣工投产，中北锂电、汇科新材料等一批项目加快施工，夏音线束、美驰三元催化器等一批项目开工建设。加快科创中心、标准化厂房、新区邻里中心等功能性配套设施建设。紧扣关键领域和薄弱环节，围绕主导产业和配套设施建设，做好项目谋划。</w:t>
      </w:r>
    </w:p>
    <w:p>
      <w:pPr>
        <w:ind w:left="0" w:right="0" w:firstLine="560"/>
        <w:spacing w:before="450" w:after="450" w:line="312" w:lineRule="auto"/>
      </w:pPr>
      <w:r>
        <w:rPr>
          <w:rFonts w:ascii="宋体" w:hAnsi="宋体" w:eastAsia="宋体" w:cs="宋体"/>
          <w:color w:val="000"/>
          <w:sz w:val="28"/>
          <w:szCs w:val="28"/>
        </w:rPr>
        <w:t xml:space="preserve">三是加大招商引资。抢抓长三角一体化协同发展战略机遇，开展基金招商、资本招商、委托招商，招引一批高科技、高成长性的战略性新兴产业项目。围绕主导产业，结合区域优势，分析研判相关产业发展态势，着力做好招大、引强、选优，在建链、补链、延链、强链上下功夫。</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安徽新兴产业工作总结7</w:t>
      </w:r>
    </w:p>
    <w:p>
      <w:pPr>
        <w:ind w:left="0" w:right="0" w:firstLine="560"/>
        <w:spacing w:before="450" w:after="450" w:line="312" w:lineRule="auto"/>
      </w:pPr>
      <w:r>
        <w:rPr>
          <w:rFonts w:ascii="宋体" w:hAnsi="宋体" w:eastAsia="宋体" w:cs="宋体"/>
          <w:color w:val="000"/>
          <w:sz w:val="28"/>
          <w:szCs w:val="28"/>
        </w:rPr>
        <w:t xml:space="preserve">为全面落实五大发展行动计划，深入实施“双轮驱动”战略，扎实推进“五大专项行动”，有力促进实体经济发展，颍东区先后出台了《_颍东区委、颍东区人民政府关于实施“双轮驱动”战略发展实体经济三年行动计划的实施意见》（阜东发〔20_〕16号）、《_颍东区委、颍东区人民政府关于进一步促进民间投资的实施意见》（阜东发〔20_〕11号）、《_颍东区委、颍东区人民政府关于完善产权保护制度依法保护产权的实施意见》（阜东发〔20_〕2号）、《安徽颍东经济开发区改革创新发展实施方案》，进一步放开民间投资市场准入，拓宽民间投资领域，切实完善产权保护制度，强化要素保障。区直各单位也相继牵头起草了《颍东区“十三五”科技发展规划》《颍东区“十三五”工业发展规划》等专项规划，为战略性新兴产业重点行业的发展提供强有力的政策支撑。</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安徽新兴产业工作总结8</w:t>
      </w:r>
    </w:p>
    <w:p>
      <w:pPr>
        <w:ind w:left="0" w:right="0" w:firstLine="560"/>
        <w:spacing w:before="450" w:after="450" w:line="312" w:lineRule="auto"/>
      </w:pPr>
      <w:r>
        <w:rPr>
          <w:rFonts w:ascii="宋体" w:hAnsi="宋体" w:eastAsia="宋体" w:cs="宋体"/>
          <w:color w:val="000"/>
          <w:sz w:val="28"/>
          <w:szCs w:val="28"/>
        </w:rPr>
        <w:t xml:space="preserve">（一）目前管委会政务公开工作上虽然稳步推进，政务公开信息数持续增多，但是信息发布的及时性以及公开信息质量有待进一步提高，存在多而不精，有质无量的问题。</w:t>
      </w:r>
    </w:p>
    <w:p>
      <w:pPr>
        <w:ind w:left="0" w:right="0" w:firstLine="560"/>
        <w:spacing w:before="450" w:after="450" w:line="312" w:lineRule="auto"/>
      </w:pPr>
      <w:r>
        <w:rPr>
          <w:rFonts w:ascii="宋体" w:hAnsi="宋体" w:eastAsia="宋体" w:cs="宋体"/>
          <w:color w:val="000"/>
          <w:sz w:val="28"/>
          <w:szCs w:val="28"/>
        </w:rPr>
        <w:t xml:space="preserve">（二）政务公开工作被动展开，少数部门信息公开主动性不够，导致信息联络员与政务公开专门工作人员对接工作时出现信息偏差。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加强政府信息公开平台和机制建设。根据省市有关要求，进一步整合政务网站和信息公开网站，做好信息公开平台及目录编制工作，及时通过政府信息公开网发布重要政策解读信息，健全、完善重要信息发布工作流程，推进重要政府信息及热点问题定期有序发布工作，及时回应社会关切。</w:t>
      </w:r>
    </w:p>
    <w:p>
      <w:pPr>
        <w:ind w:left="0" w:right="0" w:firstLine="560"/>
        <w:spacing w:before="450" w:after="450" w:line="312" w:lineRule="auto"/>
      </w:pPr>
      <w:r>
        <w:rPr>
          <w:rFonts w:ascii="宋体" w:hAnsi="宋体" w:eastAsia="宋体" w:cs="宋体"/>
          <w:color w:val="000"/>
          <w:sz w:val="28"/>
          <w:szCs w:val="28"/>
        </w:rPr>
        <w:t xml:space="preserve">（二）优化目录设置，推进全面公开。政务信息公开目录以主动公开目录为基础，重点突出稳岗就业、政策解读、疫情防控、公共文化服务、\"六保\"“六稳〞等重点工作公开，健全公共企事业单位信息公开，积极探索数据开放，推动政务公开内容全覆盖。</w:t>
      </w:r>
    </w:p>
    <w:p>
      <w:pPr>
        <w:ind w:left="0" w:right="0" w:firstLine="560"/>
        <w:spacing w:before="450" w:after="450" w:line="312" w:lineRule="auto"/>
      </w:pPr>
      <w:r>
        <w:rPr>
          <w:rFonts w:ascii="宋体" w:hAnsi="宋体" w:eastAsia="宋体" w:cs="宋体"/>
          <w:color w:val="000"/>
          <w:sz w:val="28"/>
          <w:szCs w:val="28"/>
        </w:rPr>
        <w:t xml:space="preserve">（三）提高政务公开业务水平。积极组织信息公开具体业务人员参加政务公开相关的业务培训，不断提高业务技能和水平，进一步规范公开内容，提高公开质量，督促各政务公开部门做好工作衔接，并加强业务指导，确保新任人员及时了解业务、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