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种养场工作总结202_年(推荐7篇)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种养场工作总结20_年11、清塘：一般三月开始清塘，清塘时，可留10-20公分的水，以备消毒，若塘水中的有害藻多，比如蓝藻、甲藻等多的话，要尽量抽干。若年前因需整塘而早已干塘，可省略这点。2、消毒，原则上，一清完塘，就可以进行塘底杀鱼卵消毒...</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种养场工作总结20_年1</w:t>
      </w:r>
    </w:p>
    <w:p>
      <w:pPr>
        <w:ind w:left="0" w:right="0" w:firstLine="560"/>
        <w:spacing w:before="450" w:after="450" w:line="312" w:lineRule="auto"/>
      </w:pPr>
      <w:r>
        <w:rPr>
          <w:rFonts w:ascii="宋体" w:hAnsi="宋体" w:eastAsia="宋体" w:cs="宋体"/>
          <w:color w:val="000"/>
          <w:sz w:val="28"/>
          <w:szCs w:val="28"/>
        </w:rPr>
        <w:t xml:space="preserve">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种养场工作总结20_年2</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种养场工作总结20_年3</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种养场工作总结20_年4</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养殖场20_年工作总结报告三</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在思想上，自己能认真学习_理论、“三个代表”重要思想及科学发展观，平常利用电视、电脑、报纸、杂志等媒体关注国内国际形势，学习党章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并且联系实际，生动讲解，提高学生的学习兴趣。</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种养场工作总结20_年5</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种养场工作总结20_年6</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__0余头，年收入__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种养场工作总结20_年7</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