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授信执行工作总结(精选4篇)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授信执行工作总结1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授信执行工作总结1</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银行授信审批部信贷工作总结报告 (菁选3篇)（扩展10）</w:t>
      </w:r>
    </w:p>
    <w:p>
      <w:pPr>
        <w:ind w:left="0" w:right="0" w:firstLine="560"/>
        <w:spacing w:before="450" w:after="450" w:line="312" w:lineRule="auto"/>
      </w:pPr>
      <w:r>
        <w:rPr>
          <w:rFonts w:ascii="宋体" w:hAnsi="宋体" w:eastAsia="宋体" w:cs="宋体"/>
          <w:color w:val="000"/>
          <w:sz w:val="28"/>
          <w:szCs w:val="28"/>
        </w:rPr>
        <w:t xml:space="preserve">——银行柜员优秀工作总结报告 (菁选2篇)</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授信执行工作总结2</w:t>
      </w:r>
    </w:p>
    <w:p>
      <w:pPr>
        <w:ind w:left="0" w:right="0" w:firstLine="560"/>
        <w:spacing w:before="450" w:after="450" w:line="312" w:lineRule="auto"/>
      </w:pPr>
      <w:r>
        <w:rPr>
          <w:rFonts w:ascii="宋体" w:hAnsi="宋体" w:eastAsia="宋体" w:cs="宋体"/>
          <w:color w:val="000"/>
          <w:sz w:val="28"/>
          <w:szCs w:val="28"/>
        </w:rPr>
        <w:t xml:space="preserve">1、上半年度的培训工作与20_年度相比，从培训项目数、举办培训课程次数、接受训练的人次等方面，取得了一定的增长。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3、不断改进培训方式，积极探索新的培训模式。今年支行注重实战培训，针对违规积分管理办法的出台，不断提高员工的业务技能，不断提高操作风险防范能力。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授信执行工作总结4</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50%;贷款收息率50%。全年实现总收入50万元，较上年增加50万元，增长50%;实现净利润50万元，社社盈余。实现净利润15050万元，同比增加15050万元，增长了15050%;所有者权益达15050万元，其中，实收资本和资本公积分别达15050万元和15050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2、各项存款稳步增长。年末各项存款余额突破150亿元大关，达到1505050万元，较年初增加1505050万元，增长15050%，完成上级分配任务的15050%;存款月均余额达15050万元，完成分配计划的15050%。</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15050万元，较年初增长了15050%，各项贷款年末余额15050万元，较年初增加15050万元，增长15050%。其中农业贷款余额15050万元，占各项贷款余额的15050%。年末存贷占比为15050%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15050万元，占各项贷款余额的15050%，较年初下降15050个百分点。按贷款五级分类划分正常类贷款15050万元，占比15050%，关注类贷款15050万元，占比15050%，不良贷款15050万元，占比15050%。其中次级类贷款15050万元，占比15050%，可疑类贷款15050万元，占比15050%，损失类贷款15050万元，占比15050%。四级分类与五级分类相比，不良贷款下降15050万元，占比下降15050个百分点。(不含央行票据置换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