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下面是小编为大家带来的有关20_年个人师德师风工作总结怎么写，希望大家喜欢。个人师德师风工作总结【篇一】学校这学年开展学习师德师风以来，在县教育局，教育办领导...</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工作总结是对工作的检查与分析，也会为了以后工作不在出现相同的问题，避免错误的发生。下面是小编为大家带来的有关20_年个人师德师风工作总结怎么写，希望大家喜欢。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个人师德师风工作总结【篇一】</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个人师德师风工作总结【篇三】</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_教师从教六十年感悟到：没有爱就没有教育;__老师“用心去爱每一位学生”;_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个人师德师风工作总结【篇五】</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心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20_年个人师德师风工作总结怎么写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