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最新生态环境治理工作汇报材料 生态环境治理工作总结(11篇)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生态环境治理工作汇报材料 生态环境治理工作总结一环境的问题直接或间接地影响着生存在这个地球上的.每个生命，人类毋庸置疑包括在内。可是当我们细究原因，真相却是我们人类亲手造成这一切的苦果，伤害了人类本身，也伤害了其他生命。我们自称为万物之灵，...</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生态环境治理工作总结一</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生态环境治理工作总结二</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生态环境治理工作总结三</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生态环境治理工作总结四</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生态环境治理工作总结五</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生态环境治理工作总结六</w:t>
      </w:r>
    </w:p>
    <w:p>
      <w:pPr>
        <w:ind w:left="0" w:right="0" w:firstLine="560"/>
        <w:spacing w:before="450" w:after="450" w:line="312" w:lineRule="auto"/>
      </w:pPr>
      <w:r>
        <w:rPr>
          <w:rFonts w:ascii="宋体" w:hAnsi="宋体" w:eastAsia="宋体" w:cs="宋体"/>
          <w:color w:val="000"/>
          <w:sz w:val="28"/>
          <w:szCs w:val="28"/>
        </w:rPr>
        <w:t xml:space="preserve">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xx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xxxx年12月底完工。</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1、启动城市供水应急水源建设工程。新打水源深井5口，xxxx年4月26日正式启动建设，计划xxxx年6月底前完成并投入使用。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生态环境治理工作总结八</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国土资源部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国土资源部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0。3%。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w:t>
      </w:r>
    </w:p>
    <w:p>
      <w:pPr>
        <w:ind w:left="0" w:right="0" w:firstLine="560"/>
        <w:spacing w:before="450" w:after="450" w:line="312" w:lineRule="auto"/>
      </w:pPr>
      <w:r>
        <w:rPr>
          <w:rFonts w:ascii="宋体" w:hAnsi="宋体" w:eastAsia="宋体" w:cs="宋体"/>
          <w:color w:val="000"/>
          <w:sz w:val="28"/>
          <w:szCs w:val="28"/>
        </w:rPr>
        <w:t xml:space="preserve">+两级沉淀法处理，氨氮废水处理系统采用多级吹脱+氨回收处理，2套处理设施在确保废水污染物达标排放的同时，大大减少了重金属和氨氮的排放。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生态环境治理工作总结九</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生态环境治理工作总结篇十</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4"/>
          <w:szCs w:val="34"/>
          <w:b w:val="1"/>
          <w:bCs w:val="1"/>
        </w:rPr>
        <w:t xml:space="preserve">生态环境治理工作汇报材料 生态环境治理工作总结篇十一</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2025-05-02T11:41:16+08:00</dcterms:created>
  <dcterms:modified xsi:type="dcterms:W3CDTF">2025-05-02T11:41:16+08:00</dcterms:modified>
</cp:coreProperties>
</file>

<file path=docProps/custom.xml><?xml version="1.0" encoding="utf-8"?>
<Properties xmlns="http://schemas.openxmlformats.org/officeDocument/2006/custom-properties" xmlns:vt="http://schemas.openxmlformats.org/officeDocument/2006/docPropsVTypes"/>
</file>