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2024年精神科科主任年终总结 精神科的工作总结(5篇)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精神科科主任年终总结 精神科的工作总结一一、立足办学理念，不断完善研训保障与过程管理为确保校本研训工作的顺利进行，注重实效性，我科室精心设计了一本适合我校教师专业发展的《泗安中学教师专业成长手册》，人手一本，一学年一考核，一方面方便了对教师...</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精神科的工作总结一</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精神科的工作总结二</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精神科的工作总结四</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____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